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000000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rFonts w:ascii="Arial" w:hAnsi="Arial" w:eastAsia="Arial" w:cs="Arial"/>
          <w:b w:val="0"/>
          <w:bCs w:val="0"/>
          <w:i w:val="0"/>
          <w:iCs w:val="0"/>
          <w:smallCaps w:val="0"/>
          <w:strike w:val="0"/>
          <w:color w:val="000000"/>
          <w:sz w:val="22"/>
          <w:szCs w:val="22"/>
          <w:u w:val="none"/>
          <w:shd w:val="clear" w:color="auto" w:fill="auto"/>
          <w:vertAlign w:val="baseline"/>
        </w:rPr>
      </w:pPr>
      <w:r>
        <w:rPr>
          <w:rtl w:val="0"/>
        </w:rPr>
      </w:r>
      <w:r>
        <w:rPr>
          <w:rFonts w:ascii="Arial" w:hAnsi="Arial" w:eastAsia="Arial" w:cs="Arial"/>
          <w:b w:val="0"/>
          <w:bCs w:val="0"/>
          <w:i w:val="0"/>
          <w:iCs w:val="0"/>
          <w:smallCaps w:val="0"/>
          <w:strike w:val="0"/>
          <w:color w:val="000000"/>
          <w:sz w:val="22"/>
          <w:szCs w:val="22"/>
          <w:u w:val="none"/>
          <w:shd w:val="clear" w:color="auto" w:fill="auto"/>
          <w:vertAlign w:val="baseline"/>
        </w:rPr>
      </w:r>
      <w:r>
        <w:rPr>
          <w:rFonts w:ascii="Arial" w:hAnsi="Arial" w:eastAsia="Arial" w:cs="Arial"/>
          <w:b w:val="0"/>
          <w:bCs w:val="0"/>
          <w:i w:val="0"/>
          <w:iCs w:val="0"/>
          <w:smallCaps w:val="0"/>
          <w:strike w:val="0"/>
          <w:color w:val="000000"/>
          <w:sz w:val="22"/>
          <w:szCs w:val="22"/>
          <w:u w:val="none"/>
          <w:shd w:val="clear" w:color="auto" w:fill="auto"/>
          <w:vertAlign w:val="baseline"/>
        </w:rPr>
      </w:r>
    </w:p>
    <w:tbl>
      <w:tblPr>
        <w:tblStyle w:val="1266"/>
        <w:tblW w:w="9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60"/>
        <w:gridCol w:w="8108"/>
        <w:tblGridChange w:id="0">
          <w:tblGrid>
            <w:gridCol w:w="1360"/>
            <w:gridCol w:w="8108"/>
          </w:tblGrid>
        </w:tblGridChange>
      </w:tblGrid>
      <w:tr>
        <w:trPr>
          <w:cantSplit w:val="false"/>
        </w:trPr>
        <w:tc>
          <w:tcPr>
            <w:tcBorders>
              <w:top w:val="none" w:color="000000" w:sz="0" w:space="0"/>
              <w:left w:val="none" w:color="000000" w:sz="0" w:space="0"/>
              <w:bottom w:val="none" w:color="000000" w:sz="0" w:space="0"/>
            </w:tcBorders>
            <w:textDirection w:val="lrTb"/>
            <w:noWrap w:val="false"/>
          </w:tcPr>
          <w:p w14:paraId="00000002">
            <w:pPr>
              <w:pBdr/>
              <w:spacing/>
              <w:ind/>
              <w:rPr>
                <w:rFonts w:ascii="Calibri" w:hAnsi="Calibri" w:eastAsia="Calibri" w:cs="Calibri"/>
                <w:b/>
                <w:bCs/>
                <w:sz w:val="28"/>
                <w:szCs w:val="28"/>
              </w:rPr>
            </w:pPr>
            <w:r>
              <w:rPr>
                <w:rtl w:val="0"/>
              </w:rPr>
            </w:r>
            <w:r>
              <w:rPr>
                <w:rFonts w:ascii="Calibri" w:hAnsi="Calibri" w:eastAsia="Calibri" w:cs="Calibri"/>
                <w:b/>
                <w:bCs/>
                <w:sz w:val="28"/>
                <w:szCs w:val="28"/>
              </w:rPr>
            </w:r>
            <w:r>
              <w:rPr>
                <w:rFonts w:ascii="Calibri" w:hAnsi="Calibri" w:eastAsia="Calibri" w:cs="Calibri"/>
                <w:b/>
                <w:bCs/>
                <w:sz w:val="28"/>
                <w:szCs w:val="28"/>
              </w:rPr>
            </w:r>
          </w:p>
        </w:tc>
        <w:tc>
          <w:tcPr>
            <w:tcBorders>
              <w:top w:val="none" w:color="000000" w:sz="0" w:space="0"/>
              <w:bottom w:val="single" w:color="000000" w:sz="4" w:space="0"/>
              <w:right w:val="none" w:color="000000" w:sz="0" w:space="0"/>
            </w:tcBorders>
            <w:textDirection w:val="lrTb"/>
            <w:noWrap w:val="false"/>
          </w:tcPr>
          <w:p w14:paraId="00000003">
            <w:pPr>
              <w:pBdr/>
              <w:spacing/>
              <w:ind/>
              <w:rPr>
                <w:rFonts w:ascii="Calibri" w:hAnsi="Calibri" w:eastAsia="Calibri" w:cs="Calibri"/>
                <w:b/>
                <w:bCs/>
                <w:sz w:val="28"/>
                <w:szCs w:val="28"/>
              </w:rPr>
            </w:pPr>
            <w:r/>
            <w:bookmarkStart w:id="0" w:name="_heading=h.16lkwjy3hxd9"/>
            <w:r/>
            <w:bookmarkEnd w:id="0"/>
            <w:r>
              <w:rPr>
                <w:rFonts w:ascii="Calibri" w:hAnsi="Calibri" w:eastAsia="Calibri" w:cs="Calibri"/>
                <w:b/>
                <w:bCs/>
                <w:sz w:val="36"/>
                <w:szCs w:val="36"/>
                <w:rtl w:val="0"/>
              </w:rPr>
              <w:t xml:space="preserve">PROCUREMENT CONTRACT</w:t>
            </w:r>
            <w:r>
              <w:rPr>
                <w:rFonts w:ascii="Calibri" w:hAnsi="Calibri" w:eastAsia="Calibri" w:cs="Calibri"/>
                <w:b/>
                <w:bCs/>
                <w:sz w:val="28"/>
                <w:szCs w:val="28"/>
              </w:rPr>
            </w:r>
            <w:r>
              <w:rPr>
                <w:rFonts w:ascii="Calibri" w:hAnsi="Calibri" w:eastAsia="Calibri" w:cs="Calibri"/>
                <w:b/>
                <w:bCs/>
                <w:sz w:val="28"/>
                <w:szCs w:val="28"/>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4">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5">
            <w:pPr>
              <w:pBdr/>
              <w:spacing/>
              <w:ind/>
              <w:rPr>
                <w:rFonts w:ascii="Calibri" w:hAnsi="Calibri" w:eastAsia="Calibri" w:cs="Calibri"/>
                <w:b/>
                <w:bCs/>
                <w:sz w:val="24"/>
                <w:szCs w:val="24"/>
              </w:rPr>
            </w:pP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Service – </w:t>
            </w: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Supplies</w:t>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6">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7">
            <w:pPr>
              <w:pBdr/>
              <w:spacing/>
              <w:ind/>
              <w:rPr>
                <w:rFonts w:ascii="Calibri" w:hAnsi="Calibri" w:eastAsia="Calibri" w:cs="Calibri"/>
                <w:b/>
                <w:bCs/>
                <w:sz w:val="24"/>
                <w:szCs w:val="24"/>
                <w:highlight w:val="white"/>
              </w:rPr>
            </w:pPr>
            <w:r>
              <w:rPr>
                <w:rFonts w:ascii="Calibri" w:hAnsi="Calibri" w:eastAsia="Calibri" w:cs="Calibri"/>
                <w:b/>
                <w:bCs/>
                <w:smallCaps/>
                <w:sz w:val="24"/>
                <w:szCs w:val="24"/>
                <w:highlight w:val="white"/>
                <w:rtl w:val="0"/>
              </w:rPr>
              <w:t xml:space="preserve">Number</w:t>
            </w:r>
            <w:r>
              <w:rPr>
                <w:rFonts w:ascii="Calibri" w:hAnsi="Calibri" w:eastAsia="Calibri" w:cs="Calibri"/>
                <w:b/>
                <w:bCs/>
                <w:smallCaps/>
                <w:sz w:val="24"/>
                <w:szCs w:val="24"/>
                <w:highlight w:val="white"/>
                <w:rtl w:val="0"/>
              </w:rPr>
              <w:t xml:space="preserve">:</w:t>
            </w:r>
            <w:r>
              <w:rPr>
                <w:rFonts w:ascii="Calibri" w:hAnsi="Calibri" w:eastAsia="Calibri" w:cs="Calibri"/>
                <w:b/>
                <w:bCs/>
                <w:smallCaps/>
                <w:sz w:val="24"/>
                <w:szCs w:val="24"/>
                <w:highlight w:val="white"/>
                <w:rtl w:val="0"/>
              </w:rPr>
              <w:t xml:space="preserve"> </w:t>
            </w:r>
            <w:r>
              <w:rPr>
                <w:rFonts w:ascii="Calibri" w:hAnsi="Calibri" w:eastAsia="Calibri" w:cs="Calibri"/>
                <w:b/>
                <w:bCs/>
                <w:smallCaps/>
                <w:sz w:val="24"/>
                <w:szCs w:val="24"/>
                <w:highlight w:val="white"/>
                <w:rtl w:val="0"/>
              </w:rPr>
              <w:t xml:space="preserve">26-MR3811</w:t>
            </w:r>
            <w:r>
              <w:rPr>
                <w:rFonts w:ascii="Calibri" w:hAnsi="Calibri" w:eastAsia="Calibri" w:cs="Calibri"/>
                <w:b/>
                <w:bCs/>
                <w:sz w:val="24"/>
                <w:szCs w:val="24"/>
                <w:highlight w:val="white"/>
              </w:rPr>
            </w:r>
            <w:r>
              <w:rPr>
                <w:rFonts w:ascii="Calibri" w:hAnsi="Calibri" w:eastAsia="Calibri" w:cs="Calibri"/>
                <w:b/>
                <w:bCs/>
                <w:sz w:val="24"/>
                <w:szCs w:val="24"/>
                <w:highlight w:val="white"/>
              </w:rPr>
            </w:r>
          </w:p>
        </w:tc>
      </w:tr>
      <w:tr>
        <w:trPr>
          <w:cantSplit w:val="false"/>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8">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0A">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0B">
            <w:pPr>
              <w:pBdr/>
              <w:spacing/>
              <w:ind/>
              <w:rPr>
                <w:rFonts w:ascii="Calibri" w:hAnsi="Calibri" w:eastAsia="Calibri" w:cs="Calibri"/>
                <w:b/>
                <w:bCs/>
                <w:smallCaps/>
                <w:sz w:val="24"/>
                <w:szCs w:val="24"/>
              </w:rPr>
            </w:pPr>
            <w:r/>
            <w:bookmarkStart w:id="1" w:name="_heading=h.oc1636fihqe"/>
            <w:r/>
            <w:bookmarkEnd w:id="1"/>
            <w:r>
              <w:rPr>
                <w:rFonts w:ascii="Calibri" w:hAnsi="Calibri" w:eastAsia="Calibri" w:cs="Calibri"/>
                <w:b/>
                <w:bCs/>
                <w:smallCaps/>
                <w:sz w:val="24"/>
                <w:szCs w:val="24"/>
                <w:rtl w:val="0"/>
              </w:rPr>
              <w:t xml:space="preserve">OBJECT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0C">
            <w:pPr>
              <w:pBdr/>
              <w:spacing/>
              <w:ind/>
              <w:jc w:val="both"/>
              <w:rPr>
                <w:rFonts w:ascii="Calibri" w:hAnsi="Calibri" w:eastAsia="Calibri" w:cs="Calibri"/>
                <w:b/>
                <w:bCs/>
                <w:sz w:val="22"/>
                <w:szCs w:val="22"/>
              </w:rPr>
            </w:pPr>
            <w:r/>
            <w:bookmarkStart w:id="2" w:name="_heading=h.cxaam633fltm"/>
            <w:r/>
            <w:bookmarkEnd w:id="2"/>
            <w:r>
              <w:rPr>
                <w:b/>
                <w:bCs/>
                <w:rtl w:val="0"/>
              </w:rPr>
              <w:t xml:space="preserve">Supply of the Rehabilitation Equipment</w:t>
            </w:r>
            <w:r>
              <w:rPr>
                <w:rFonts w:ascii="Calibri" w:hAnsi="Calibri" w:eastAsia="Calibri" w:cs="Calibri"/>
                <w:b/>
                <w:bCs/>
                <w:sz w:val="22"/>
                <w:szCs w:val="22"/>
              </w:rPr>
            </w:r>
            <w:r>
              <w:rPr>
                <w:rFonts w:ascii="Calibri" w:hAnsi="Calibri" w:eastAsia="Calibri" w:cs="Calibri"/>
                <w:b/>
                <w:bCs/>
                <w:sz w:val="22"/>
                <w:szCs w:val="22"/>
              </w:rPr>
            </w:r>
          </w:p>
          <w:p w14:paraId="0000000D">
            <w:pPr>
              <w:pBdr>
                <w:top w:val="none" w:color="000000" w:sz="0" w:space="0"/>
                <w:left w:val="none" w:color="000000" w:sz="0" w:space="0"/>
                <w:bottom w:val="none" w:color="000000" w:sz="0" w:space="0"/>
                <w:right w:val="none" w:color="000000" w:sz="0" w:space="0"/>
                <w:between w:val="none" w:color="000000" w:sz="0" w:space="0"/>
              </w:pBdr>
              <w:spacing/>
              <w:ind w:firstLine="0" w:left="0"/>
              <w:jc w:val="both"/>
              <w:rPr>
                <w:rFonts w:ascii="Calibri" w:hAnsi="Calibri" w:eastAsia="Calibri" w:cs="Calibri"/>
                <w:sz w:val="24"/>
                <w:szCs w:val="24"/>
              </w:rPr>
            </w:pPr>
            <w:r>
              <w:rPr>
                <w:rFonts w:ascii="Calibri" w:hAnsi="Calibri" w:eastAsia="Calibri" w:cs="Calibri"/>
                <w:b/>
                <w:bCs/>
                <w:sz w:val="22"/>
                <w:szCs w:val="22"/>
                <w:highlight w:val="white"/>
                <w:rtl w:val="0"/>
              </w:rPr>
              <w:t xml:space="preserve">Lot 1:</w:t>
            </w:r>
            <w:r>
              <w:rPr>
                <w:rFonts w:ascii="Calibri" w:hAnsi="Calibri" w:eastAsia="Calibri" w:cs="Calibri"/>
                <w:sz w:val="22"/>
                <w:szCs w:val="22"/>
                <w:highlight w:val="white"/>
                <w:rtl w:val="0"/>
              </w:rPr>
              <w:t xml:space="preserve"> </w:t>
            </w:r>
            <w:r>
              <w:rPr>
                <w:color w:val="222222"/>
                <w:sz w:val="22"/>
                <w:szCs w:val="22"/>
                <w:highlight w:val="white"/>
                <w:rtl w:val="0"/>
              </w:rPr>
              <w:t xml:space="preserve">Mobility Rehabilitation </w:t>
            </w:r>
            <w:r>
              <w:rPr>
                <w:rFonts w:ascii="Calibri" w:hAnsi="Calibri" w:eastAsia="Calibri" w:cs="Calibri"/>
                <w:sz w:val="24"/>
                <w:szCs w:val="24"/>
              </w:rPr>
            </w:r>
            <w:r>
              <w:rPr>
                <w:rFonts w:ascii="Calibri" w:hAnsi="Calibri" w:eastAsia="Calibri" w:cs="Calibri"/>
                <w:sz w:val="24"/>
                <w:szCs w:val="24"/>
              </w:rPr>
            </w:r>
          </w:p>
        </w:tc>
      </w:tr>
      <w:tr>
        <w:trPr>
          <w:cantSplit w:val="false"/>
          <w:trHeight w:val="3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E">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10">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11">
            <w:pPr>
              <w:pBdr/>
              <w:spacing/>
              <w:ind/>
              <w:rPr>
                <w:rFonts w:ascii="Calibri" w:hAnsi="Calibri" w:eastAsia="Calibri" w:cs="Calibri"/>
                <w:b/>
                <w:bCs/>
                <w:smallCaps/>
                <w:sz w:val="24"/>
                <w:szCs w:val="24"/>
              </w:rPr>
            </w:pPr>
            <w:r/>
            <w:bookmarkStart w:id="3" w:name="_heading=h.4xkcyogoe9rb"/>
            <w:r/>
            <w:bookmarkEnd w:id="3"/>
            <w:r>
              <w:rPr>
                <w:rFonts w:ascii="Calibri" w:hAnsi="Calibri" w:eastAsia="Calibri" w:cs="Calibri"/>
                <w:b/>
                <w:bCs/>
                <w:smallCaps/>
                <w:sz w:val="24"/>
                <w:szCs w:val="24"/>
                <w:rtl w:val="0"/>
              </w:rPr>
              <w:t xml:space="preserve">MAXIMUM AMOUNT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12">
            <w:pPr>
              <w:pBdr/>
              <w:spacing/>
              <w:ind/>
              <w:rPr>
                <w:rFonts w:ascii="Calibri" w:hAnsi="Calibri" w:eastAsia="Calibri" w:cs="Calibri"/>
                <w:sz w:val="24"/>
                <w:szCs w:val="24"/>
                <w:highlight w:val="white"/>
              </w:rPr>
            </w:pPr>
            <w:r>
              <w:rPr>
                <w:rFonts w:ascii="Calibri" w:hAnsi="Calibri" w:eastAsia="Calibri" w:cs="Calibri"/>
                <w:i/>
                <w:iCs/>
                <w:sz w:val="24"/>
                <w:szCs w:val="24"/>
                <w:highlight w:val="yellow"/>
                <w:rtl w:val="0"/>
              </w:rPr>
              <w:t xml:space="preserve">state here the maximum amount of all supplies that will be delivered under the contract  UAH/EUR </w:t>
            </w:r>
            <w:r>
              <w:rPr>
                <w:rFonts w:ascii="Calibri" w:hAnsi="Calibri" w:eastAsia="Calibri" w:cs="Calibri"/>
                <w:i/>
                <w:iCs/>
                <w:sz w:val="24"/>
                <w:szCs w:val="24"/>
                <w:highlight w:val="white"/>
                <w:rtl w:val="0"/>
              </w:rPr>
              <w:t xml:space="preserve">excl. VAT</w:t>
            </w:r>
            <w:r>
              <w:rPr>
                <w:rFonts w:ascii="Calibri" w:hAnsi="Calibri" w:eastAsia="Calibri" w:cs="Calibri"/>
                <w:sz w:val="24"/>
                <w:szCs w:val="24"/>
                <w:highlight w:val="white"/>
              </w:rPr>
            </w:r>
            <w:r>
              <w:rPr>
                <w:rFonts w:ascii="Calibri" w:hAnsi="Calibri" w:eastAsia="Calibri" w:cs="Calibri"/>
                <w:sz w:val="24"/>
                <w:szCs w:val="24"/>
                <w:highlight w:val="white"/>
              </w:rPr>
            </w:r>
          </w:p>
        </w:tc>
      </w:tr>
      <w:tr>
        <w:trPr>
          <w:cantSplit w:val="false"/>
          <w:trHeight w:val="70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13">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4">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5">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6">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tbl>
            <w:tblPr>
              <w:tblStyle w:val="1267"/>
              <w:tblW w:w="4644" w:type="dxa"/>
              <w:tblBorders>
                <w:top w:val="single" w:color="000000" w:sz="4" w:space="0"/>
                <w:left w:val="single" w:color="000000" w:sz="4" w:space="0"/>
                <w:bottom w:val="single" w:color="000000" w:sz="4" w:space="0"/>
                <w:right w:val="single" w:color="000000" w:sz="4" w:space="0"/>
              </w:tblBorders>
              <w:tblLayout w:type="fixed"/>
              <w:tblLook w:val="0400" w:firstRow="0" w:lastRow="0" w:firstColumn="0" w:lastColumn="0" w:noHBand="0" w:noVBand="1"/>
            </w:tblPr>
            <w:tblGrid>
              <w:gridCol w:w="4644"/>
              <w:tblGridChange w:id="1">
                <w:tblGrid>
                  <w:gridCol w:w="4644"/>
                </w:tblGrid>
              </w:tblGridChange>
            </w:tblGrid>
            <w:tr>
              <w:trPr>
                <w:cantSplit w:val="false"/>
                <w:trHeight w:val="702"/>
              </w:trPr>
              <w:tc>
                <w:tcPr>
                  <w:shd w:val="clear" w:color="auto" w:fill="d9d9d9"/>
                  <w:tcBorders/>
                  <w:vAlign w:val="center"/>
                  <w:textDirection w:val="lrTb"/>
                  <w:noWrap w:val="false"/>
                </w:tcPr>
                <w:p w14:paraId="00000017">
                  <w:pPr>
                    <w:pBdr/>
                    <w:spacing w:after="120" w:before="120"/>
                    <w:ind/>
                    <w:rPr>
                      <w:rFonts w:ascii="Calibri" w:hAnsi="Calibri" w:eastAsia="Calibri" w:cs="Calibri"/>
                      <w:b/>
                      <w:bCs/>
                      <w:smallCaps/>
                      <w:sz w:val="22"/>
                      <w:szCs w:val="22"/>
                    </w:rPr>
                  </w:pPr>
                  <w:r>
                    <w:rPr>
                      <w:rFonts w:ascii="Calibri" w:hAnsi="Calibri" w:eastAsia="Calibri" w:cs="Calibri"/>
                      <w:b/>
                      <w:bCs/>
                      <w:smallCaps/>
                      <w:sz w:val="22"/>
                      <w:szCs w:val="22"/>
                      <w:rtl w:val="0"/>
                    </w:rPr>
                    <w:t xml:space="preserve">Award date:</w:t>
                  </w:r>
                  <w:r>
                    <w:rPr>
                      <w:rFonts w:ascii="Calibri" w:hAnsi="Calibri" w:eastAsia="Calibri" w:cs="Calibri"/>
                      <w:smallCaps/>
                      <w:sz w:val="22"/>
                      <w:szCs w:val="22"/>
                      <w:rtl w:val="0"/>
                    </w:rPr>
                    <w:tab/>
                    <w:tab/>
                  </w:r>
                  <w:r>
                    <w:rPr>
                      <w:rFonts w:ascii="Calibri" w:hAnsi="Calibri" w:eastAsia="Calibri" w:cs="Calibri"/>
                      <w:b/>
                      <w:bCs/>
                      <w:smallCaps/>
                      <w:sz w:val="22"/>
                      <w:szCs w:val="22"/>
                    </w:rPr>
                  </w:r>
                  <w:r>
                    <w:rPr>
                      <w:rFonts w:ascii="Calibri" w:hAnsi="Calibri" w:eastAsia="Calibri" w:cs="Calibri"/>
                      <w:b/>
                      <w:bCs/>
                      <w:smallCaps/>
                      <w:sz w:val="22"/>
                      <w:szCs w:val="22"/>
                    </w:rPr>
                  </w:r>
                </w:p>
              </w:tc>
            </w:tr>
          </w:tbl>
          <w:p w14:paraId="00000018">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9">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A">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B">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C">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D">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E">
            <w:pPr>
              <w:pBdr>
                <w:top w:val="single" w:color="000000" w:sz="4" w:space="1"/>
              </w:pBdr>
              <w:tabs>
                <w:tab w:val="right" w:leader="none" w:pos="9356"/>
              </w:tabs>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F">
            <w:pPr>
              <w:pBdr/>
              <w:tabs>
                <w:tab w:val="right" w:leader="none" w:pos="9356"/>
              </w:tabs>
              <w:spacing/>
              <w:ind/>
              <w:rPr/>
            </w:pPr>
            <w:r>
              <w:rPr>
                <w:rFonts w:ascii="Calibri" w:hAnsi="Calibri" w:eastAsia="Calibri" w:cs="Calibri"/>
                <w:sz w:val="22"/>
                <w:szCs w:val="22"/>
                <w:rtl w:val="0"/>
              </w:rPr>
              <w:t xml:space="preserve">This contract is subject to the French Public Procurement Code in its latest version in force as enacted by </w:t>
            </w:r>
            <w:hyperlink r:id="rId18" w:tooltip="http://www.marche-public.fr/ccp/ccp-plan-legislative.htm" w:history="1">
              <w:r>
                <w:rPr>
                  <w:color w:val="0000ff"/>
                  <w:u w:val="single"/>
                  <w:rtl w:val="0"/>
                </w:rPr>
                <w:t xml:space="preserve">Order No. 2018-1074 issued on 26 November 2018</w:t>
              </w:r>
            </w:hyperlink>
            <w:r>
              <w:rPr>
                <w:rFonts w:ascii="Calibri" w:hAnsi="Calibri" w:eastAsia="Calibri" w:cs="Calibri"/>
                <w:sz w:val="22"/>
                <w:szCs w:val="22"/>
                <w:rtl w:val="0"/>
              </w:rPr>
              <w:t xml:space="preserve"> and its Implementation </w:t>
            </w:r>
            <w:hyperlink r:id="rId19" w:tooltip="http://www.marche-public.fr/ccp/ccp-plan-reglementaire.htm" w:history="1">
              <w:r>
                <w:rPr>
                  <w:color w:val="0000ff"/>
                  <w:u w:val="single"/>
                  <w:rtl w:val="0"/>
                </w:rPr>
                <w:t xml:space="preserve">Decree No. 2018-1075 issued on 3 December 2018</w:t>
              </w:r>
            </w:hyperlink>
            <w:r>
              <w:rPr>
                <w:rFonts w:ascii="Calibri" w:hAnsi="Calibri" w:eastAsia="Calibri" w:cs="Calibri"/>
                <w:sz w:val="22"/>
                <w:szCs w:val="22"/>
                <w:rtl w:val="0"/>
              </w:rPr>
              <w:t xml:space="preserve"> constituting the regulatory aspects of the Public Procurement Code (“CCP”).</w:t>
            </w:r>
            <w:r>
              <w:rPr>
                <w:rtl w:val="0"/>
              </w:rPr>
            </w:r>
            <w:r/>
          </w:p>
          <w:p w14:paraId="00000020">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rtl w:val="0"/>
              </w:rPr>
              <w:t xml:space="preserve">It is awarded by means of:  </w:t>
            </w:r>
            <w:r>
              <w:rPr>
                <w:rFonts w:ascii="Calibri" w:hAnsi="Calibri" w:eastAsia="Calibri" w:cs="Calibri"/>
                <w:sz w:val="22"/>
                <w:szCs w:val="22"/>
                <w:highlight w:val="white"/>
              </w:rPr>
            </w:r>
            <w:r>
              <w:rPr>
                <w:rFonts w:ascii="Calibri" w:hAnsi="Calibri" w:eastAsia="Calibri" w:cs="Calibri"/>
                <w:sz w:val="22"/>
                <w:szCs w:val="22"/>
                <w:highlight w:val="white"/>
              </w:rPr>
            </w:r>
          </w:p>
          <w:p w14:paraId="00000021">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highlight w:val="white"/>
                <w:rtl w:val="0"/>
              </w:rPr>
              <w:t xml:space="preserve">adapted procedure in application of Articles L. 2123-1 and R. 2123-1 to R. 2123-7 of CCP</w:t>
            </w:r>
            <w:r>
              <w:rPr>
                <w:rFonts w:ascii="Calibri" w:hAnsi="Calibri" w:eastAsia="Calibri" w:cs="Calibri"/>
                <w:sz w:val="22"/>
                <w:szCs w:val="22"/>
                <w:highlight w:val="white"/>
              </w:rPr>
            </w:r>
            <w:r>
              <w:rPr>
                <w:rFonts w:ascii="Calibri" w:hAnsi="Calibri" w:eastAsia="Calibri" w:cs="Calibri"/>
                <w:sz w:val="22"/>
                <w:szCs w:val="22"/>
                <w:highlight w:val="white"/>
              </w:rPr>
            </w:r>
          </w:p>
        </w:tc>
      </w:tr>
    </w:tbl>
    <w:p w14:paraId="00000023">
      <w:pPr>
        <w:pBdr/>
        <w:spacing/>
        <w:ind/>
        <w:rPr>
          <w:rFonts w:ascii="Calibri" w:hAnsi="Calibri" w:eastAsia="Calibri" w:cs="Calibri"/>
          <w:sz w:val="18"/>
          <w:szCs w:val="18"/>
        </w:rPr>
        <w:sectPr>
          <w:headerReference w:type="default" r:id="rId9"/>
          <w:headerReference w:type="first" r:id="rId10"/>
          <w:footerReference w:type="default" r:id="rId14"/>
          <w:footerReference w:type="first" r:id="rId15"/>
          <w:footnotePr/>
          <w:endnotePr/>
          <w:type w:val="nextPage"/>
          <w:pgSz w:h="16838" w:orient="portrait" w:w="11906"/>
          <w:pgMar w:top="272" w:right="680" w:bottom="851" w:left="1758" w:header="709" w:footer="709" w:gutter="0"/>
          <w:pgNumType w:start="1"/>
          <w:cols w:num="1" w:sep="0" w:space="1701" w:equalWidth="1"/>
          <w:titlePg/>
        </w:sectPr>
      </w:pPr>
      <w:r>
        <w:rPr>
          <w:rtl w:val="0"/>
        </w:rPr>
      </w:r>
      <w:r>
        <w:rPr>
          <w:rFonts w:ascii="Calibri" w:hAnsi="Calibri" w:eastAsia="Calibri" w:cs="Calibri"/>
          <w:sz w:val="18"/>
          <w:szCs w:val="18"/>
        </w:rPr>
      </w:r>
      <w:r>
        <w:rPr>
          <w:rFonts w:ascii="Calibri" w:hAnsi="Calibri" w:eastAsia="Calibri" w:cs="Calibri"/>
          <w:sz w:val="18"/>
          <w:szCs w:val="18"/>
        </w:rPr>
      </w:r>
    </w:p>
    <w:p w14:paraId="00000024">
      <w:pPr>
        <w:keepNext w:val="true"/>
        <w:keepLines w:val="tru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480" w:line="276" w:lineRule="auto"/>
        <w:ind w:right="0" w:firstLine="0" w:left="0"/>
        <w:jc w:val="left"/>
        <w:rPr>
          <w:rFonts w:ascii="Calibri" w:hAnsi="Calibri" w:eastAsia="Calibri" w:cs="Calibri"/>
          <w:b/>
          <w:bCs/>
          <w:i w:val="0"/>
          <w:iCs w:val="0"/>
          <w:smallCaps w:val="0"/>
          <w:strike w:val="0"/>
          <w:color w:val="000000"/>
          <w:sz w:val="32"/>
          <w:szCs w:val="32"/>
          <w:u w:val="none"/>
          <w:shd w:val="clear" w:color="auto" w:fill="auto"/>
          <w:vertAlign w:val="baseline"/>
        </w:rPr>
      </w:pPr>
      <w:r>
        <w:rPr>
          <w:rFonts w:ascii="Calibri" w:hAnsi="Calibri" w:eastAsia="Calibri" w:cs="Calibri"/>
          <w:b/>
          <w:bCs/>
          <w:i w:val="0"/>
          <w:iCs w:val="0"/>
          <w:smallCaps w:val="0"/>
          <w:strike w:val="0"/>
          <w:color w:val="000000"/>
          <w:sz w:val="32"/>
          <w:szCs w:val="32"/>
          <w:u w:val="single"/>
          <w:shd w:val="clear" w:color="auto" w:fill="auto"/>
          <w:vertAlign w:val="baseline"/>
          <w:rtl w:val="0"/>
        </w:rPr>
        <w:t xml:space="preserve">TABLE OF CONTENTS</w:t>
      </w:r>
      <w:r>
        <w:rPr>
          <w:rFonts w:ascii="Calibri" w:hAnsi="Calibri" w:eastAsia="Calibri" w:cs="Calibri"/>
          <w:b/>
          <w:bCs/>
          <w:i w:val="0"/>
          <w:iCs w:val="0"/>
          <w:smallCaps w:val="0"/>
          <w:strike w:val="0"/>
          <w:color w:val="000000"/>
          <w:sz w:val="32"/>
          <w:szCs w:val="32"/>
          <w:u w:val="none"/>
          <w:shd w:val="clear" w:color="auto" w:fill="auto"/>
          <w:vertAlign w:val="baseline"/>
        </w:rPr>
      </w:r>
      <w:r>
        <w:rPr>
          <w:rFonts w:ascii="Calibri" w:hAnsi="Calibri" w:eastAsia="Calibri" w:cs="Calibri"/>
          <w:b/>
          <w:bCs/>
          <w:i w:val="0"/>
          <w:iCs w:val="0"/>
          <w:smallCaps w:val="0"/>
          <w:strike w:val="0"/>
          <w:color w:val="000000"/>
          <w:sz w:val="32"/>
          <w:szCs w:val="32"/>
          <w:u w:val="none"/>
          <w:shd w:val="clear" w:color="auto" w:fill="auto"/>
          <w:vertAlign w:val="baseline"/>
        </w:rPr>
      </w:r>
    </w:p>
    <w:sdt>
      <w:sdtPr>
        <w15:appearance w15:val="boundingBox"/>
        <w:id w:val="624113745"/>
        <w:docPartObj>
          <w:docPartGallery w:val="Table of Contents"/>
          <w:docPartUnique w:val="true"/>
        </w:docPartObj>
        <w:rPr/>
      </w:sdtPr>
      <w:sdtContent>
        <w:p w14:paraId="0000002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fldChar w:fldCharType="begin"/>
            <w:instrText xml:space="preserve"> TOC \h \u \z \t "Heading 1,1,Heading 2,2,Heading 3,3,"</w:instrText>
            <w:fldChar w:fldCharType="separate"/>
          </w:r>
          <w:hyperlink w:tooltip="#_heading=h.e007hi7d7w9t" w:anchor="_heading=h.e007hi7d7w9t" w:history="1">
            <w:r>
              <w:rPr>
                <w:rFonts w:ascii="Arial" w:hAnsi="Arial" w:eastAsia="Arial" w:cs="Arial"/>
                <w:b/>
                <w:bCs/>
                <w:i w:val="0"/>
                <w:iCs w:val="0"/>
                <w:smallCaps/>
                <w:strike w:val="0"/>
                <w:color w:val="000000"/>
                <w:sz w:val="20"/>
                <w:szCs w:val="20"/>
                <w:u w:val="none"/>
                <w:shd w:val="clear" w:color="auto" w:fill="auto"/>
                <w:vertAlign w:val="baseline"/>
                <w:rtl w:val="0"/>
              </w:rPr>
              <w:t xml:space="preserve">SPECIAL CONDITIONS – COMMITMENT PROCEDURE</w:t>
            </w:r>
          </w:hyperlink>
          <w:r/>
          <w:hyperlink w:tooltip="#_heading=h.e007hi7d7w9t" w:anchor="_heading=h.e007hi7d7w9t"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d810c46dtub" w:anchor="_heading=h.nd810c46dtu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w:t>
            </w:r>
          </w:hyperlink>
          <w:r/>
          <w:hyperlink w:tooltip="#_heading=h.nd810c46dtub" w:anchor="_heading=h.nd810c46dtu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_heading=h.nd810c46dtub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OBJECT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d1v8w5fjuw" w:anchor="_heading=h.md1v8w5fju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2:</w:t>
            </w:r>
          </w:hyperlink>
          <w:r/>
          <w:hyperlink w:tooltip="#_heading=h.md1v8w5fjuw" w:anchor="_heading=h.md1v8w5fj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_heading=h.md1v8w5fjuw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CONTRACTUAL DOCUMENTS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furnnz0syhc" w:anchor="_heading=h.7furnnz0syhc"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3:</w:t>
            </w:r>
          </w:hyperlink>
          <w:r/>
          <w:hyperlink w:tooltip="#_heading=h.7furnnz0syhc" w:anchor="_heading=h.7furnnz0syh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_heading=h.7furnnz0syhc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GENERAL CHARACTERISTICS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7</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jcbwd3wq79" w:anchor="_heading=h.4mjcbwd3wq7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the Contract</w:t>
              <w:tab/>
              <w:t xml:space="preserve">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c8q84wf83e2" w:anchor="_heading=h.cc8q84wf83e2"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 of the Contract</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7ni47lszxva" w:anchor="_heading=h.d7ni47lszxva"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Commencement and deadline of [service provision][supply delivery]</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p2hwu421gw" w:anchor="_heading=h.4mp2hwu421g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 for the issuance of purchase orders</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mj24kng2s1" w:anchor="_heading=h.mvmj24kng2s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Firming-up of order tranches</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t85cpi1j26r" w:anchor="_heading=h.vt85cpi1j26r"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4:</w:t>
            </w:r>
          </w:hyperlink>
          <w:r/>
          <w:hyperlink w:tooltip="#_heading=h.vt85cpi1j26r" w:anchor="_heading=h.vt85cpi1j26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_heading=h.vt85cpi1j26r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FINANCIAL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gqg3dq68qg9" w:anchor="_heading=h.hgqg3dq68qg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Amount of the Contract</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scyyzxrvx1u0" w:anchor="_heading=h.scyyzxrvx1u0"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prices</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wwdw4wt6z1u" w:anchor="_heading=h.jwwdw4wt6z1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Advance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939pryti6g" w:anchor="_heading=h.jz939pryti6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procedure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31dyf601s4r" w:anchor="_heading=h.431dyf601s4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terms and late payment interest</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trb1igq1yvt" w:anchor="_heading=h.etrb1igq1yv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Presentation of payment demands</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ez20tpl05n" w:anchor="_heading=h.vez20tpl05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transfer</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r5jo3o9krpz" w:anchor="_heading=h.dr5jo3o9krp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Value added tax (VAT)</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wtn8w13gxbz" w:anchor="_heading=h.dwtn8w13gxb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Taxes and duties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cfy433vf9pl" w:anchor="_heading=h.wcfy433vf9p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5:</w:t>
            </w:r>
          </w:hyperlink>
          <w:r/>
          <w:hyperlink w:tooltip="#_heading=h.wcfy433vf9pl" w:anchor="_heading=h.wcfy433vf9p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_heading=h.wcfy433vf9pl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INSPECTION AND ACCEPTANCE ACTIVITIES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1tqxj4129n0n" w:anchor="_heading=h.1tqxj4129n0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Inspection activities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85gl2hqlaxfm" w:anchor="_heading=h.85gl2hqlaxfm"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Acceptance of services and supplies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4h0nhdixajl" w:anchor="_heading=h.n4h0nhdixaj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6:</w:t>
            </w:r>
          </w:hyperlink>
          <w:r/>
          <w:hyperlink w:tooltip="#_heading=h.n4h0nhdixajl" w:anchor="_heading=h.n4h0nhdixaj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_heading=h.n4h0nhdixajl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SPECIFIC TERMS OF EXECUTION</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deg2yze7xuw" w:anchor="_heading=h.pdeg2yze7x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Deliverables table</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fxhlgw5w8f1" w:anchor="_heading=h.9fxhlgw5w8f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Expert in charge of the assignment</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9hf3789wf2g" w:anchor="_heading=h.b9hf3789wf2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Place of execution</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412ueym2kpc" w:anchor="_heading=h.j412ueym2kp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Delivery</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ha3bdpqz17i" w:anchor="_heading=h.mha3bdpqz17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Export control</w:t>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Language of the </w:t>
            </w:r>
          </w:hyperlink>
          <w:r/>
          <w:hyperlink w:tooltip="#_heading=h.53bnhbriryvv" w:anchor="_heading=h.53bnhbriryvv"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hyperlink>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Commitments of the </w:t>
            </w:r>
          </w:hyperlink>
          <w:r/>
          <w:hyperlink w:tooltip="#_heading=h.mnlbrxqtziqr" w:anchor="_heading=h.mnlbrxqtziqr"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hyperlink>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yrr4yw77lyye" w:anchor="_heading=h.yrr4yw77lyye"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Confidentiality</w:t>
              <w:tab/>
              <w:t xml:space="preserve">17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tc9xwems3n" w:anchor="_heading=h.wtc9xwems3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Provision of documents</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5g7b1lmyu5q" w:anchor="_heading=h.u5g7b1lmyu5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Insurance</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gqoskasf9yp" w:anchor="_heading=h.7gqoskasf9yp"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Contact person and communication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kdlp4bhu7rfk" w:anchor="_heading=h.kdlp4bhu7rf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Understaking against deforestation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5esbcxpu77w" w:anchor="_heading=h.h5esbcxpu77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7:</w:t>
            </w:r>
          </w:hyperlink>
          <w:r/>
          <w:hyperlink w:tooltip="#_heading=h.h5esbcxpu77w" w:anchor="_heading=h.h5esbcxpu77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_heading=h.h5esbcxpu77w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RE-EXAMINATION CLAUSE</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1apimnyxp8g" w:anchor="_heading=h.e1apimnyxp8g"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8:</w:t>
            </w:r>
          </w:hyperlink>
          <w:r/>
          <w:hyperlink w:tooltip="#_heading=h.e1apimnyxp8g" w:anchor="_heading=h.e1apimnyxp8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_heading=h.e1apimnyxp8g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SIMILAR SERVICES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e2f457tnbxo" w:anchor="_heading=h.ie2f457tnbxo"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9:</w:t>
            </w:r>
          </w:hyperlink>
          <w:r/>
          <w:hyperlink w:tooltip="#_heading=h.ie2f457tnbxo" w:anchor="_heading=h.ie2f457tnbxo"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_heading=h.ie2f457tnbxo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PENALTIES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c3o6ztus7ii" w:anchor="_heading=h.9c3o6ztus7i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for periodic documentary deliverables</w:t>
              <w:tab/>
              <w:t xml:space="preserve">19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bfumdg3tmjj" w:anchor="_heading=h.ebfumdg3tmj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applicable to submission of final deliverables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3a5gw1rmtd9z" w:anchor="_heading=h.3a5gw1rmtd9z"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10:</w:t>
            </w:r>
          </w:hyperlink>
          <w:r/>
          <w:hyperlink w:tooltip="#_heading=h.3a5gw1rmtd9z" w:anchor="_heading=h.3a5gw1rmtd9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_heading=h.3a5gw1rmtd9z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INTELLECTUAL PROPERTY</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20</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jlz5k59fyz" w:anchor="_heading=h.mvjlz5k59fy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Definitions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0jv05i7qd1s" w:anchor="_heading=h.d0jv05i7qd1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Ownership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vfu9msvyo4" w:anchor="_heading=h.4mvfu9msvy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Exploitation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8e84rjvo2ly" w:anchor="_heading=h.i8e84rjvo2ly"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Licensing of pre-existing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mh19f7rl707" w:anchor="_heading=h.vmh19f7rl707"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Guarantees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6mvp2wgwg9b" w:anchor="_heading=h.c6mvp2wgwg9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Image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wqsi53yah6" w:anchor="_heading=h.jzwqsi53yah6"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11:</w:t>
            </w:r>
          </w:hyperlink>
          <w:r/>
          <w:hyperlink w:tooltip="#_heading=h.jzwqsi53yah6" w:anchor="_heading=h.jzwqsi53yah6"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_heading=h.jzwqsi53yah6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TERMINATION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21</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fttf3k5odqdk" w:anchor="_heading=h.fttf3k5odqd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General terms of performance</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gyap4ye1yqc" w:anchor="_heading=h.wgyap4ye1yq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Termination of the Contract due to the non-availability of a designated expert</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r0gpso40wmj" w:anchor="_heading=h.ur0gpso40wm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w:t>
              <w:tab/>
              <w:t xml:space="preserve">22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x60hrvrz2o4" w:anchor="_heading=h.dx60hrvrz2o4"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12:</w:t>
            </w:r>
          </w:hyperlink>
          <w:r/>
          <w:hyperlink w:tooltip="#_heading=h.dx60hrvrz2o4" w:anchor="_heading=h.dx60hrvrz2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_heading=h.dx60hrvrz2o4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SAFETY AND SECURITY MEASURES AND RESPONSABILITIES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ve0n64yd3cb" w:anchor="_heading=h.nve0n64yd3c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13:</w:t>
            </w:r>
          </w:hyperlink>
          <w:r/>
          <w:hyperlink w:tooltip="#_heading=h.nve0n64yd3cb" w:anchor="_heading=h.nve0n64yd3c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_heading=h.nve0n64yd3cb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ETHICS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29ntz8dzfzls" w:anchor="_heading=h.29ntz8dzfzl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14:</w:t>
            </w:r>
          </w:hyperlink>
          <w:r/>
          <w:hyperlink w:tooltip="#_heading=h.29ntz8dzfzls" w:anchor="_heading=h.29ntz8dzfzl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_heading=h.29ntz8dzfzls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ADMINISTRATION OF PERSONAL DATA</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pe7brxl4sas" w:anchor="_heading=h.ppe7brxl4sa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15:</w:t>
            </w:r>
          </w:hyperlink>
          <w:r/>
          <w:hyperlink w:tooltip="#_heading=h.ppe7brxl4sas" w:anchor="_heading=h.ppe7brxl4sa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_heading=h.ppe7brxl4sas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DISPUTE RESOLUTION - APPLICABLE LAW</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oy15a9ejd16t" w:anchor="_heading=h.oy15a9ejd16t"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16:</w:t>
            </w:r>
          </w:hyperlink>
          <w:r/>
          <w:hyperlink w:tooltip="#_heading=h.oy15a9ejd16t" w:anchor="_heading=h.oy15a9ejd16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_heading=h.oy15a9ejd16t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DEROGATION FROM THE CCAG</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xqhi566od5d" w:anchor="_heading=h.xqhi566od5d"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17:</w:t>
            </w:r>
          </w:hyperlink>
          <w:r/>
          <w:hyperlink w:tooltip="#_heading=h.xqhi566od5d" w:anchor="_heading=h.xqhi566od5d"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_heading=h.xqhi566od5d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AUDIT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imppe1k7ygu" w:anchor="_heading=h.cimppe1k7ygu"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18:</w:t>
            </w:r>
          </w:hyperlink>
          <w:r/>
          <w:hyperlink w:tooltip="#_heading=h.cimppe1k7ygu" w:anchor="_heading=h.cimppe1k7yg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_heading=h.cimppe1k7ygu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5o2k63gga6q" w:anchor="_heading=h.b5o2k63gga6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Declaration</w:t>
              <w:tab/>
              <w:t xml:space="preserve">25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xaizc154b7y" w:anchor="_heading=h.ixaizc154b7y" w:history="1">
            <w:r>
              <w:rPr>
                <w:rFonts w:ascii="Arial" w:hAnsi="Arial" w:eastAsia="Arial" w:cs="Arial"/>
                <w:b/>
                <w:bCs/>
                <w:i w:val="0"/>
                <w:iCs w:val="0"/>
                <w:smallCaps/>
                <w:strike w:val="0"/>
                <w:color w:val="000000"/>
                <w:sz w:val="20"/>
                <w:szCs w:val="20"/>
                <w:u w:val="none"/>
                <w:shd w:val="clear" w:color="auto" w:fill="auto"/>
                <w:vertAlign w:val="baseline"/>
                <w:rtl w:val="0"/>
              </w:rPr>
              <w:t xml:space="preserve">ANNEX 1: SPECIFICATIONS</w:t>
            </w:r>
          </w:hyperlink>
          <w:r/>
          <w:hyperlink w:tooltip="#_heading=h.ixaizc154b7y" w:anchor="_heading=h.ixaizc154b7y"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1">
          <w:pPr>
            <w:pBdr/>
            <w:spacing/>
            <w:ind/>
            <w:rPr>
              <w:rFonts w:ascii="Calibri" w:hAnsi="Calibri" w:eastAsia="Calibri" w:cs="Calibri"/>
            </w:rPr>
          </w:pPr>
          <w:r>
            <w:rPr>
              <w:rtl w:val="0"/>
            </w:rPr>
          </w:r>
          <w:r>
            <w:fldChar w:fldCharType="end"/>
          </w:r>
          <w:r>
            <w:rPr>
              <w:rFonts w:ascii="Calibri" w:hAnsi="Calibri" w:eastAsia="Calibri" w:cs="Calibri"/>
            </w:rPr>
          </w:r>
          <w:r>
            <w:rPr>
              <w:rFonts w:ascii="Calibri" w:hAnsi="Calibri" w:eastAsia="Calibri" w:cs="Calibri"/>
            </w:rPr>
          </w:r>
        </w:p>
      </w:sdtContent>
    </w:sdt>
    <w:p w14:paraId="00000062">
      <w:pPr>
        <w:widowControl w:val="false"/>
        <w:pBdr/>
        <w:spacing/>
        <w:ind/>
        <w:rPr>
          <w:rFonts w:ascii="Calibri" w:hAnsi="Calibri" w:eastAsia="Calibri" w:cs="Calibri"/>
          <w:b/>
          <w:bCs/>
          <w:sz w:val="22"/>
          <w:szCs w:val="22"/>
        </w:rPr>
        <w:sectPr>
          <w:headerReference w:type="default" r:id="rId11"/>
          <w:footnotePr/>
          <w:endnotePr/>
          <w:type w:val="nextPage"/>
          <w:pgSz w:h="16838" w:orient="portrait" w:w="11906"/>
          <w:pgMar w:top="902" w:right="1009" w:bottom="1616" w:left="1151" w:header="431" w:footer="56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0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567"/>
        <w:jc w:val="both"/>
        <w:rPr>
          <w:rFonts w:ascii="Calibri" w:hAnsi="Calibri" w:eastAsia="Calibri" w:cs="Calibri"/>
          <w:b/>
          <w:bCs/>
          <w:i w:val="0"/>
          <w:iCs w:val="0"/>
          <w:smallCaps/>
          <w:strike w:val="0"/>
          <w:color w:val="000000"/>
          <w:sz w:val="32"/>
          <w:szCs w:val="32"/>
          <w:u w:val="single"/>
          <w:shd w:val="clear" w:color="auto" w:fill="auto"/>
          <w:vertAlign w:val="baseline"/>
        </w:rPr>
      </w:pPr>
      <w:r/>
      <w:bookmarkStart w:id="4" w:name="_heading=h.e007hi7d7w9t"/>
      <w:r/>
      <w:bookmarkEnd w:id="4"/>
      <w:r>
        <w:rPr>
          <w:rFonts w:ascii="Calibri" w:hAnsi="Calibri" w:eastAsia="Calibri" w:cs="Calibri"/>
          <w:b/>
          <w:bCs/>
          <w:i w:val="0"/>
          <w:iCs w:val="0"/>
          <w:smallCaps/>
          <w:strike w:val="0"/>
          <w:color w:val="000000"/>
          <w:sz w:val="32"/>
          <w:szCs w:val="32"/>
          <w:u w:val="single"/>
          <w:shd w:val="clear" w:color="auto" w:fill="auto"/>
          <w:vertAlign w:val="baseline"/>
          <w:rtl w:val="0"/>
        </w:rPr>
        <w:t xml:space="preserve">SPECIAL CONDITIONS – COMMITMENT PROCEDURE</w:t>
      </w:r>
      <w:r>
        <w:rPr>
          <w:rFonts w:ascii="Calibri" w:hAnsi="Calibri" w:eastAsia="Calibri" w:cs="Calibri"/>
          <w:b/>
          <w:bCs/>
          <w:i w:val="0"/>
          <w:iCs w:val="0"/>
          <w:smallCaps/>
          <w:strike w:val="0"/>
          <w:color w:val="000000"/>
          <w:sz w:val="32"/>
          <w:szCs w:val="32"/>
          <w:u w:val="single"/>
          <w:shd w:val="clear" w:color="auto" w:fill="auto"/>
          <w:vertAlign w:val="baseline"/>
        </w:rPr>
      </w:r>
      <w:r>
        <w:rPr>
          <w:rFonts w:ascii="Calibri" w:hAnsi="Calibri" w:eastAsia="Calibri" w:cs="Calibri"/>
          <w:b/>
          <w:bCs/>
          <w:i w:val="0"/>
          <w:iCs w:val="0"/>
          <w:smallCaps/>
          <w:strike w:val="0"/>
          <w:color w:val="000000"/>
          <w:sz w:val="32"/>
          <w:szCs w:val="32"/>
          <w:u w:val="single"/>
          <w:shd w:val="clear" w:color="auto" w:fill="auto"/>
          <w:vertAlign w:val="baseline"/>
        </w:rPr>
      </w:r>
    </w:p>
    <w:p w14:paraId="0000006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240" w:line="240" w:lineRule="auto"/>
        <w:ind w:right="0" w:firstLine="0" w:left="0"/>
        <w:jc w:val="both"/>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Between:</w:t>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tbl>
      <w:tblPr>
        <w:tblStyle w:val="1268"/>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2">
          <w:tblGrid>
            <w:gridCol w:w="9736"/>
          </w:tblGrid>
        </w:tblGridChange>
      </w:tblGrid>
      <w:tr>
        <w:trPr>
          <w:cantSplit w:val="false"/>
        </w:trPr>
        <w:tc>
          <w:tcPr>
            <w:tcBorders/>
            <w:textDirection w:val="lrTb"/>
            <w:noWrap w:val="false"/>
          </w:tcPr>
          <w:p w14:paraId="0000006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0"/>
                <w:szCs w:val="20"/>
                <w:u w:val="single"/>
                <w:shd w:val="clear" w:color="auto" w:fill="auto"/>
                <w:vertAlign w:val="baseline"/>
              </w:rPr>
            </w:pPr>
            <w:r>
              <w:rPr>
                <w:rFonts w:ascii="Calibri" w:hAnsi="Calibri" w:eastAsia="Calibri" w:cs="Calibri"/>
                <w:b/>
                <w:bCs/>
                <w:i w:val="0"/>
                <w:iCs w:val="0"/>
                <w:smallCaps/>
                <w:strike w:val="0"/>
                <w:color w:val="000000"/>
                <w:sz w:val="22"/>
                <w:szCs w:val="22"/>
                <w:u w:val="none"/>
                <w:shd w:val="clear" w:color="auto" w:fill="auto"/>
                <w:vertAlign w:val="baseline"/>
                <w:rtl w:val="0"/>
              </w:rPr>
              <w:t xml:space="preserve">EXPERTISE FRANCE SAS</w:t>
            </w:r>
            <w:r>
              <w:rPr>
                <w:rFonts w:ascii="Calibri" w:hAnsi="Calibri" w:eastAsia="Calibri" w:cs="Calibri"/>
                <w:b/>
                <w:bCs/>
                <w:i w:val="0"/>
                <w:iCs w:val="0"/>
                <w:smallCaps/>
                <w:strike w:val="0"/>
                <w:color w:val="000000"/>
                <w:sz w:val="20"/>
                <w:szCs w:val="20"/>
                <w:u w:val="single"/>
                <w:shd w:val="clear" w:color="auto" w:fill="auto"/>
                <w:vertAlign w:val="baseline"/>
              </w:rPr>
            </w:r>
            <w:r>
              <w:rPr>
                <w:rFonts w:ascii="Calibri" w:hAnsi="Calibri" w:eastAsia="Calibri" w:cs="Calibri"/>
                <w:b/>
                <w:bCs/>
                <w:i w:val="0"/>
                <w:iCs w:val="0"/>
                <w:smallCaps/>
                <w:strike w:val="0"/>
                <w:color w:val="000000"/>
                <w:sz w:val="20"/>
                <w:szCs w:val="20"/>
                <w:u w:val="single"/>
                <w:shd w:val="clear" w:color="auto" w:fill="auto"/>
                <w:vertAlign w:val="baseline"/>
              </w:rPr>
            </w:r>
          </w:p>
          <w:p w14:paraId="0000006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40, boulevard de Port Royal - 75005 PARIS,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29"/>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 simplified joint-stock company with share capital of €828,933 registered under the following numbers: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8">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SIRET no.: 808 734 792 00035</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9">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Intra-community VAT number: FR36 808734792</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Represented by Mr Jérémie PELLET, Managing Director,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C">
            <w:pPr>
              <w:widowControl w:val="false"/>
              <w:pBdr/>
              <w:spacing/>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of the first part,</w:t>
            </w:r>
            <w:r>
              <w:rPr>
                <w:rFonts w:ascii="Calibri" w:hAnsi="Calibri" w:eastAsia="Calibri" w:cs="Calibri"/>
                <w:b/>
                <w:bCs/>
                <w:sz w:val="22"/>
                <w:szCs w:val="22"/>
                <w:u w:val="single"/>
              </w:rPr>
            </w:r>
            <w:r>
              <w:rPr>
                <w:rFonts w:ascii="Calibri" w:hAnsi="Calibri" w:eastAsia="Calibri" w:cs="Calibri"/>
                <w:b/>
                <w:bCs/>
                <w:sz w:val="22"/>
                <w:szCs w:val="22"/>
                <w:u w:val="single"/>
              </w:rPr>
            </w:r>
          </w:p>
          <w:p w14:paraId="0000006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tc>
      </w:tr>
    </w:tbl>
    <w:p w14:paraId="0000006E">
      <w:pPr>
        <w:widowControl w:val="false"/>
        <w:pBdr/>
        <w:spacing w:after="240" w:before="240"/>
        <w:ind/>
        <w:jc w:val="both"/>
        <w:rPr>
          <w:rFonts w:ascii="Calibri" w:hAnsi="Calibri" w:eastAsia="Calibri" w:cs="Calibri"/>
          <w:b/>
          <w:bCs/>
          <w:sz w:val="22"/>
          <w:szCs w:val="22"/>
          <w:highlight w:val="yellow"/>
        </w:rPr>
      </w:pPr>
      <w:r>
        <w:rPr>
          <w:rFonts w:ascii="Calibri" w:hAnsi="Calibri" w:eastAsia="Calibri" w:cs="Calibri"/>
          <w:b/>
          <w:bCs/>
          <w:sz w:val="22"/>
          <w:szCs w:val="22"/>
          <w:rtl w:val="0"/>
        </w:rPr>
        <w:t xml:space="preserve">and:</w:t>
      </w:r>
      <w:r>
        <w:rPr>
          <w:rFonts w:ascii="Calibri" w:hAnsi="Calibri" w:eastAsia="Calibri" w:cs="Calibri"/>
          <w:b/>
          <w:bCs/>
          <w:sz w:val="22"/>
          <w:szCs w:val="22"/>
          <w:highlight w:val="yellow"/>
        </w:rPr>
      </w:r>
      <w:r>
        <w:rPr>
          <w:rFonts w:ascii="Calibri" w:hAnsi="Calibri" w:eastAsia="Calibri" w:cs="Calibri"/>
          <w:b/>
          <w:bCs/>
          <w:sz w:val="22"/>
          <w:szCs w:val="22"/>
          <w:highlight w:val="yellow"/>
        </w:rPr>
      </w:r>
    </w:p>
    <w:tbl>
      <w:tblPr>
        <w:tblStyle w:val="1269"/>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3">
          <w:tblGrid>
            <w:gridCol w:w="9736"/>
          </w:tblGrid>
        </w:tblGridChange>
      </w:tblGrid>
      <w:tr>
        <w:trPr>
          <w:cantSplit w:val="false"/>
        </w:trPr>
        <w:tc>
          <w:tcPr>
            <w:tcBorders/>
            <w:textDirection w:val="lrTb"/>
            <w:noWrap w:val="false"/>
          </w:tcPr>
          <w:p w14:paraId="0000006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2"/>
                <w:szCs w:val="22"/>
                <w:highlight w:val="yellow"/>
                <w:u w:val="single"/>
                <w:vertAlign w:val="baseline"/>
              </w:rPr>
            </w:pPr>
            <w:r>
              <w:rPr>
                <w:rFonts w:ascii="Calibri" w:hAnsi="Calibri" w:eastAsia="Calibri" w:cs="Calibri"/>
                <w:b/>
                <w:bCs/>
                <w:i w:val="0"/>
                <w:iCs w:val="0"/>
                <w:smallCaps/>
                <w:strike w:val="0"/>
                <w:color w:val="000000"/>
                <w:sz w:val="22"/>
                <w:szCs w:val="22"/>
                <w:highlight w:val="yellow"/>
                <w:u w:val="single"/>
                <w:vertAlign w:val="baseline"/>
                <w:rtl w:val="0"/>
              </w:rPr>
              <w:t xml:space="preserve">co-contracting party’s name</w:t>
            </w:r>
            <w:r>
              <w:rPr>
                <w:rFonts w:ascii="Calibri" w:hAnsi="Calibri" w:eastAsia="Calibri" w:cs="Calibri"/>
                <w:b/>
                <w:bCs/>
                <w:i w:val="0"/>
                <w:iCs w:val="0"/>
                <w:smallCaps/>
                <w:strike w:val="0"/>
                <w:color w:val="000000"/>
                <w:sz w:val="22"/>
                <w:szCs w:val="22"/>
                <w:highlight w:val="yellow"/>
                <w:u w:val="single"/>
                <w:vertAlign w:val="baseline"/>
              </w:rPr>
            </w:r>
            <w:r>
              <w:rPr>
                <w:rFonts w:ascii="Calibri" w:hAnsi="Calibri" w:eastAsia="Calibri" w:cs="Calibri"/>
                <w:b/>
                <w:bCs/>
                <w:i w:val="0"/>
                <w:iCs w:val="0"/>
                <w:smallCaps/>
                <w:strike w:val="0"/>
                <w:color w:val="000000"/>
                <w:sz w:val="22"/>
                <w:szCs w:val="22"/>
                <w:highlight w:val="yellow"/>
                <w:u w:val="single"/>
                <w:vertAlign w:val="baseline"/>
              </w:rPr>
            </w:r>
          </w:p>
          <w:p w14:paraId="0000007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(Hereafter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1">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Registered office address:</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2">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Registration number at the trade and companies registry:</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3">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Intra-community VAT no. (as applicable):</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 </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tl w:val="0"/>
              </w:rPr>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Represented by: </w:t>
              <w:tab/>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6">
            <w:pPr>
              <w:pBdr/>
              <w:spacing/>
              <w:ind/>
              <w:jc w:val="both"/>
              <w:rPr>
                <w:rFonts w:ascii="Calibri" w:hAnsi="Calibri" w:eastAsia="Calibri" w:cs="Calibri"/>
                <w:b/>
                <w:bCs/>
                <w:sz w:val="22"/>
                <w:szCs w:val="22"/>
                <w:highlight w:val="yellow"/>
                <w:u w:val="single"/>
              </w:rPr>
            </w:pPr>
            <w:r>
              <w:rPr>
                <w:rFonts w:ascii="Calibri" w:hAnsi="Calibri" w:eastAsia="Calibri" w:cs="Calibri"/>
                <w:b/>
                <w:bCs/>
                <w:sz w:val="22"/>
                <w:szCs w:val="22"/>
                <w:highlight w:val="yellow"/>
                <w:u w:val="single"/>
                <w:rtl w:val="0"/>
              </w:rPr>
              <w:t xml:space="preserve">of the second part,</w:t>
            </w:r>
            <w:r>
              <w:rPr>
                <w:rFonts w:ascii="Calibri" w:hAnsi="Calibri" w:eastAsia="Calibri" w:cs="Calibri"/>
                <w:b/>
                <w:bCs/>
                <w:sz w:val="22"/>
                <w:szCs w:val="22"/>
                <w:highlight w:val="yellow"/>
                <w:u w:val="single"/>
              </w:rPr>
            </w:r>
            <w:r>
              <w:rPr>
                <w:rFonts w:ascii="Calibri" w:hAnsi="Calibri" w:eastAsia="Calibri" w:cs="Calibri"/>
                <w:b/>
                <w:bCs/>
                <w:sz w:val="22"/>
                <w:szCs w:val="22"/>
                <w:highlight w:val="yellow"/>
                <w:u w:val="single"/>
              </w:rPr>
            </w:r>
          </w:p>
          <w:p w14:paraId="00000077">
            <w:pPr>
              <w:pBdr/>
              <w:spacing/>
              <w:ind/>
              <w:jc w:val="both"/>
              <w:rPr>
                <w:rFonts w:ascii="Calibri" w:hAnsi="Calibri" w:eastAsia="Calibri" w:cs="Calibri"/>
              </w:rPr>
            </w:pPr>
            <w:r>
              <w:rPr>
                <w:rtl w:val="0"/>
              </w:rPr>
            </w:r>
            <w:r>
              <w:rPr>
                <w:rFonts w:ascii="Calibri" w:hAnsi="Calibri" w:eastAsia="Calibri" w:cs="Calibri"/>
              </w:rPr>
            </w:r>
            <w:r>
              <w:rPr>
                <w:rFonts w:ascii="Calibri" w:hAnsi="Calibri" w:eastAsia="Calibri" w:cs="Calibri"/>
              </w:rPr>
            </w:r>
          </w:p>
        </w:tc>
      </w:tr>
    </w:tbl>
    <w:p w14:paraId="0000007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(Hereafter referred to collectively as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79">
      <w:pPr>
        <w:widowControl w:val="false"/>
        <w:pBdr/>
        <w:spacing w:before="120"/>
        <w:ind/>
        <w:rPr>
          <w:rFonts w:ascii="Calibri" w:hAnsi="Calibri" w:eastAsia="Calibri" w:cs="Calibri"/>
          <w:b/>
          <w:bCs/>
          <w:sz w:val="22"/>
          <w:szCs w:val="22"/>
        </w:rPr>
      </w:pPr>
      <w:r>
        <w:rPr>
          <w:rFonts w:ascii="Calibri" w:hAnsi="Calibri" w:eastAsia="Calibri" w:cs="Calibri"/>
          <w:b/>
          <w:bCs/>
          <w:sz w:val="22"/>
          <w:szCs w:val="22"/>
          <w:rtl w:val="0"/>
        </w:rPr>
        <w:t xml:space="preserve">Whereas:</w:t>
      </w:r>
      <w:r>
        <w:rPr>
          <w:rFonts w:ascii="Calibri" w:hAnsi="Calibri" w:eastAsia="Calibri" w:cs="Calibri"/>
          <w:b/>
          <w:bCs/>
          <w:sz w:val="22"/>
          <w:szCs w:val="22"/>
        </w:rPr>
      </w:r>
      <w:r>
        <w:rPr>
          <w:rFonts w:ascii="Calibri" w:hAnsi="Calibri" w:eastAsia="Calibri" w:cs="Calibri"/>
          <w:b/>
          <w:bCs/>
          <w:sz w:val="22"/>
          <w:szCs w:val="22"/>
        </w:rPr>
      </w:r>
    </w:p>
    <w:p w14:paraId="0000007A">
      <w:pPr>
        <w:pBdr/>
        <w:spacing w:before="120"/>
        <w:ind/>
        <w:jc w:val="both"/>
        <w:rPr>
          <w:rFonts w:ascii="Calibri" w:hAnsi="Calibri" w:eastAsia="Calibri" w:cs="Calibri"/>
          <w:sz w:val="22"/>
          <w:szCs w:val="22"/>
        </w:rPr>
      </w:pPr>
      <w:r>
        <w:rPr>
          <w:rFonts w:ascii="Calibri" w:hAnsi="Calibri" w:eastAsia="Calibri" w:cs="Calibri"/>
          <w:sz w:val="22"/>
          <w:szCs w:val="22"/>
          <w:rtl w:val="0"/>
        </w:rPr>
        <w:t xml:space="preserve">In the context of the </w:t>
      </w:r>
      <w:r>
        <w:rPr>
          <w:rFonts w:ascii="Calibri" w:hAnsi="Calibri" w:eastAsia="Calibri" w:cs="Calibri"/>
          <w:sz w:val="22"/>
          <w:szCs w:val="22"/>
          <w:rtl w:val="0"/>
        </w:rPr>
        <w:t xml:space="preserve">technical assistance project, hereafter the “</w:t>
      </w:r>
      <w:r>
        <w:rPr>
          <w:rFonts w:ascii="Calibri" w:hAnsi="Calibri" w:eastAsia="Calibri" w:cs="Calibri"/>
          <w:smallCaps/>
          <w:sz w:val="22"/>
          <w:szCs w:val="22"/>
          <w:rtl w:val="0"/>
        </w:rPr>
        <w:t xml:space="preserve">Main Contract”</w:t>
      </w:r>
      <w:r>
        <w:rPr>
          <w:rFonts w:ascii="Calibri" w:hAnsi="Calibri" w:eastAsia="Calibri" w:cs="Calibri"/>
          <w:sz w:val="22"/>
          <w:szCs w:val="22"/>
          <w:rtl w:val="0"/>
        </w:rPr>
        <w:t xml:space="preserve"> (donor contract) </w:t>
      </w:r>
      <w:r>
        <w:rPr>
          <w:rFonts w:ascii="Calibri" w:hAnsi="Calibri" w:eastAsia="Calibri" w:cs="Calibri"/>
          <w:rtl w:val="0"/>
        </w:rPr>
        <w:t xml:space="preserve">based on a Special Agreement p</w:t>
      </w:r>
      <w:r>
        <w:rPr>
          <w:rFonts w:ascii="Calibri" w:hAnsi="Calibri" w:eastAsia="Calibri" w:cs="Calibri"/>
          <w:rtl w:val="0"/>
        </w:rPr>
        <w:t xml:space="preserve">roviding Grant signed on January 1, 2025 (concluded in accordance with the Framework Agreement dated September 17, 2024) between EXPERTISE FRANCE SAS and the French Development Agency (AFD), concerning the project REHAB «Recovery, rEform, and reHABilitatio</w:t>
      </w:r>
      <w:r>
        <w:rPr>
          <w:rFonts w:ascii="Calibri" w:hAnsi="Calibri" w:eastAsia="Calibri" w:cs="Calibri"/>
          <w:rtl w:val="0"/>
        </w:rPr>
        <w:t xml:space="preserve">n of the Ukrainian Health System»,) (which is officially registered in Ukraine as an International Technical Assistance Project under Registration Card No. 6019 dated 21 May 2025, and is therefore exempt from taxation) and  implemented by Expertise France,</w:t>
      </w:r>
      <w:r>
        <w:rPr>
          <w:rFonts w:ascii="Calibri" w:hAnsi="Calibri" w:eastAsia="Calibri" w:cs="Calibri"/>
          <w:sz w:val="22"/>
          <w:szCs w:val="22"/>
          <w:rtl w:val="0"/>
        </w:rPr>
        <w:t xml:space="preserv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 </w:t>
      </w:r>
      <w:r>
        <w:rPr>
          <w:rFonts w:ascii="Calibri" w:hAnsi="Calibri" w:eastAsia="Calibri" w:cs="Calibri"/>
          <w:sz w:val="22"/>
          <w:szCs w:val="22"/>
          <w:rtl w:val="0"/>
        </w:rPr>
        <w:t xml:space="preserve">asks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which accepts the same, to perform the services and deliver the services under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as set out in the attached technical annex entitled “Specifications”.</w:t>
      </w:r>
      <w:r>
        <w:rPr>
          <w:rFonts w:ascii="Calibri" w:hAnsi="Calibri" w:eastAsia="Calibri" w:cs="Calibri"/>
          <w:rtl w:val="0"/>
        </w:rPr>
        <w:t xml:space="preserve">   </w:t>
      </w:r>
      <w:r>
        <w:rPr>
          <w:rFonts w:ascii="Calibri" w:hAnsi="Calibri" w:eastAsia="Calibri" w:cs="Calibri"/>
          <w:sz w:val="22"/>
          <w:szCs w:val="22"/>
        </w:rPr>
      </w:r>
      <w:r>
        <w:rPr>
          <w:rFonts w:ascii="Calibri" w:hAnsi="Calibri" w:eastAsia="Calibri" w:cs="Calibri"/>
          <w:sz w:val="22"/>
          <w:szCs w:val="22"/>
        </w:rPr>
      </w:r>
    </w:p>
    <w:p w14:paraId="0000007B">
      <w:pPr>
        <w:pBdr/>
        <w:spacing w:before="240"/>
        <w:ind/>
        <w:jc w:val="right"/>
        <w:rPr>
          <w:rFonts w:ascii="Calibri" w:hAnsi="Calibri" w:eastAsia="Calibri" w:cs="Calibri"/>
          <w:b/>
          <w:bCs/>
          <w:sz w:val="22"/>
          <w:szCs w:val="22"/>
        </w:rPr>
      </w:pPr>
      <w:r>
        <w:rPr>
          <w:rFonts w:ascii="Calibri" w:hAnsi="Calibri" w:eastAsia="Calibri" w:cs="Calibri"/>
          <w:b/>
          <w:bCs/>
          <w:sz w:val="22"/>
          <w:szCs w:val="22"/>
          <w:rtl w:val="0"/>
        </w:rPr>
        <w:t xml:space="preserve">In the light of the foregoing, the following is agreed:</w:t>
      </w:r>
      <w:r>
        <w:rPr>
          <w:rFonts w:ascii="Calibri" w:hAnsi="Calibri" w:eastAsia="Calibri" w:cs="Calibri"/>
          <w:b/>
          <w:bCs/>
          <w:sz w:val="22"/>
          <w:szCs w:val="22"/>
        </w:rPr>
      </w:r>
      <w:r>
        <w:rPr>
          <w:rFonts w:ascii="Calibri" w:hAnsi="Calibri" w:eastAsia="Calibri" w:cs="Calibri"/>
          <w:b/>
          <w:bCs/>
          <w:sz w:val="22"/>
          <w:szCs w:val="22"/>
        </w:rPr>
      </w:r>
    </w:p>
    <w:p w14:paraId="0000007C">
      <w:pPr>
        <w:pBdr/>
        <w:spacing w:before="120"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07D">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5" w:name="_heading=h.nd810c46dtub"/>
      <w:r/>
      <w:bookmarkEnd w:id="5"/>
      <w:r>
        <w:rPr>
          <w:rFonts w:ascii="Calibri" w:hAnsi="Calibri" w:eastAsia="Calibri" w:cs="Calibri"/>
          <w:b/>
          <w:bCs/>
          <w:i w:val="0"/>
          <w:iCs w:val="0"/>
          <w:smallCaps/>
          <w:strike w:val="0"/>
          <w:color w:val="000000"/>
          <w:sz w:val="24"/>
          <w:szCs w:val="24"/>
          <w:u w:val="single"/>
          <w:shd w:val="clear" w:color="auto" w:fill="auto"/>
          <w:vertAlign w:val="baseline"/>
          <w:rtl w:val="0"/>
        </w:rPr>
        <w:t xml:space="preserve">OBJECT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7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1"/>
        <w:jc w:val="both"/>
        <w:rPr>
          <w:rFonts w:ascii="Calibri" w:hAnsi="Calibri" w:eastAsia="Calibri" w:cs="Calibri"/>
          <w:b/>
          <w:bC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object of this contract (hereafter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w:t>
      </w:r>
      <w:r>
        <w:rPr>
          <w:b/>
          <w:bCs/>
          <w:rtl w:val="0"/>
        </w:rPr>
        <w:t xml:space="preserve">Supply of the Rehabilitation Equipment</w:t>
      </w:r>
      <w:r>
        <w:rPr>
          <w:rFonts w:ascii="Calibri" w:hAnsi="Calibri" w:eastAsia="Calibri" w:cs="Calibri"/>
          <w:b/>
          <w:bCs/>
          <w:sz w:val="22"/>
          <w:szCs w:val="22"/>
          <w:rtl w:val="0"/>
        </w:rPr>
        <w:t xml:space="preserve">. </w:t>
      </w:r>
      <w:r>
        <w:rPr>
          <w:rFonts w:ascii="Calibri" w:hAnsi="Calibri" w:eastAsia="Calibri" w:cs="Calibri"/>
          <w:b/>
          <w:bCs/>
          <w:sz w:val="22"/>
          <w:szCs w:val="22"/>
          <w:highlight w:val="white"/>
          <w:rtl w:val="0"/>
        </w:rPr>
        <w:t xml:space="preserve">Lot 1:</w:t>
      </w:r>
      <w:r>
        <w:rPr>
          <w:rFonts w:ascii="Calibri" w:hAnsi="Calibri" w:eastAsia="Calibri" w:cs="Calibri"/>
          <w:sz w:val="22"/>
          <w:szCs w:val="22"/>
          <w:highlight w:val="white"/>
          <w:rtl w:val="0"/>
        </w:rPr>
        <w:t xml:space="preserve"> </w:t>
      </w:r>
      <w:r>
        <w:rPr>
          <w:b/>
          <w:bCs/>
          <w:color w:val="222222"/>
          <w:sz w:val="22"/>
          <w:szCs w:val="22"/>
          <w:highlight w:val="white"/>
          <w:rtl w:val="0"/>
        </w:rPr>
        <w:t xml:space="preserve">Mobility Rehabilitation </w:t>
      </w:r>
      <w:r>
        <w:rPr>
          <w:rFonts w:ascii="Calibri" w:hAnsi="Calibri" w:eastAsia="Calibri" w:cs="Calibri"/>
          <w:b/>
          <w:bCs/>
          <w:sz w:val="22"/>
          <w:szCs w:val="22"/>
        </w:rPr>
      </w:r>
      <w:r>
        <w:rPr>
          <w:rFonts w:ascii="Calibri" w:hAnsi="Calibri" w:eastAsia="Calibri" w:cs="Calibri"/>
          <w:b/>
          <w:bCs/>
          <w:sz w:val="22"/>
          <w:szCs w:val="22"/>
        </w:rPr>
      </w:r>
    </w:p>
    <w:p w14:paraId="0000007F">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6" w:name="_heading=h.md1v8w5fjuw"/>
      <w:r/>
      <w:bookmarkEnd w:id="6"/>
      <w:r>
        <w:rPr>
          <w:rFonts w:ascii="Calibri" w:hAnsi="Calibri" w:eastAsia="Calibri" w:cs="Calibri"/>
          <w:b/>
          <w:bCs/>
          <w:i w:val="0"/>
          <w:iCs w:val="0"/>
          <w:smallCaps/>
          <w:strike w:val="0"/>
          <w:color w:val="000000"/>
          <w:sz w:val="24"/>
          <w:szCs w:val="24"/>
          <w:u w:val="single"/>
          <w:shd w:val="clear" w:color="auto" w:fill="auto"/>
          <w:vertAlign w:val="baseline"/>
          <w:rtl w:val="0"/>
        </w:rPr>
        <w:t xml:space="preserve">CONTRACTUAL DOCUMENTS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5"/>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composed of the contractual documents set out below in decreasing order of priority: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1">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and its annexes: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2">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Annex 1 attached: Specifications;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3">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sz w:val="22"/>
          <w:szCs w:val="22"/>
          <w:u w:val="none"/>
        </w:rPr>
      </w:pPr>
      <w:r>
        <w:rPr>
          <w:rFonts w:ascii="Calibri" w:hAnsi="Calibri" w:eastAsia="Calibri" w:cs="Calibri"/>
          <w:sz w:val="22"/>
          <w:szCs w:val="22"/>
          <w:rtl w:val="0"/>
        </w:rPr>
        <w:t xml:space="preserve">Annex 2: Financial Proposal</w:t>
      </w:r>
      <w:r>
        <w:rPr>
          <w:rFonts w:ascii="Calibri" w:hAnsi="Calibri" w:eastAsia="Calibri" w:cs="Calibri"/>
          <w:sz w:val="22"/>
          <w:szCs w:val="22"/>
          <w:u w:val="none"/>
        </w:rPr>
      </w:r>
      <w:r>
        <w:rPr>
          <w:rFonts w:ascii="Calibri" w:hAnsi="Calibri" w:eastAsia="Calibri" w:cs="Calibri"/>
          <w:sz w:val="22"/>
          <w:szCs w:val="22"/>
          <w:u w:val="none"/>
        </w:rPr>
      </w:r>
    </w:p>
    <w:p w14:paraId="00000084">
      <w:pPr>
        <w:keepNext w:val="false"/>
        <w:keepLines w:val="false"/>
        <w:pageBreakBefore w:val="false"/>
        <w:widowControl w:val="tru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25"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Conduct of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E</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xpertise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F</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(available at </w:t>
      </w:r>
      <w:hyperlink r:id="rId20" w:tooltip="https://www.expertisefrance.fr/documents/20182/426622/Expertise+France+%E2%80%93+Code+of+conduct/82cf6060-4768-4b25-8817-ccba1d86e568"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https://www.expertisefrance.fr/documents/20182/426622/Expertise+France+%E2%80%93+Code+of+conduct/82cf6060-4768-4b25-8817-ccba1d86e568</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5">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CCAG - General administrative clauses applicable to public procurement for day-to-day supplies and services approved under the Order of 30/03/2021, subject to the exceptions set out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6">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bid dated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XX/XX/XXXX</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These documents constitute the entirety of the agreement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 regard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They supersede all verbal and written communications, procedures, agreements, commitments, guarantees and settlements referring to its object and facts that may have been made by or on behalf of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before the notification date. These documents are acknowledged by the Parties to represent the sole and complete expression of the terms of their agreement.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Without prejudice to the general rules applicable to administrative contracts, any modification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the waiver of any right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must be covered by an amendment signed by a duly authorised representative of 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bCs/>
          <w:i w:val="0"/>
          <w:iCs w:val="0"/>
          <w:smallCaps/>
          <w:strike w:val="0"/>
          <w:color w:val="000000"/>
          <w:sz w:val="24"/>
          <w:szCs w:val="24"/>
          <w:u w:val="none"/>
          <w:shd w:val="clear" w:color="auto" w:fill="auto"/>
          <w:vertAlign w:val="baseline"/>
        </w:rPr>
      </w:pPr>
      <w:r>
        <w:br w:type="page" w:clear="all"/>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08A">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7" w:name="_heading=h.7furnnz0syhc"/>
      <w:r/>
      <w:bookmarkEnd w:id="7"/>
      <w:r>
        <w:rPr>
          <w:rFonts w:ascii="Calibri" w:hAnsi="Calibri" w:eastAsia="Calibri" w:cs="Calibri"/>
          <w:b/>
          <w:bCs/>
          <w:i w:val="0"/>
          <w:iCs w:val="0"/>
          <w:smallCaps/>
          <w:strike w:val="0"/>
          <w:color w:val="000000"/>
          <w:sz w:val="24"/>
          <w:szCs w:val="24"/>
          <w:u w:val="single"/>
          <w:shd w:val="clear" w:color="auto" w:fill="auto"/>
          <w:vertAlign w:val="baseline"/>
          <w:rtl w:val="0"/>
        </w:rPr>
        <w:t xml:space="preserve">GENERAL CHARACTERISTICS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B">
      <w:pPr>
        <w:pStyle w:val="1259"/>
        <w:pBdr/>
        <w:spacing/>
        <w:ind/>
        <w:rPr>
          <w:rFonts w:ascii="Calibri" w:hAnsi="Calibri" w:eastAsia="Calibri" w:cs="Calibri"/>
          <w:i/>
          <w:iCs/>
          <w:sz w:val="22"/>
          <w:szCs w:val="22"/>
        </w:rPr>
      </w:pPr>
      <w:r/>
      <w:bookmarkStart w:id="8" w:name="_heading=h.4mjcbwd3wq79"/>
      <w:r/>
      <w:bookmarkEnd w:id="8"/>
      <w:r>
        <w:rPr>
          <w:rFonts w:ascii="Calibri" w:hAnsi="Calibri" w:eastAsia="Calibri" w:cs="Calibri"/>
          <w:sz w:val="22"/>
          <w:szCs w:val="22"/>
          <w:rtl w:val="0"/>
        </w:rPr>
        <w:t xml:space="preserve">Form of the Contract </w:t>
      </w:r>
      <w:r>
        <w:rPr>
          <w:rFonts w:ascii="Calibri" w:hAnsi="Calibri" w:eastAsia="Calibri" w:cs="Calibri"/>
          <w:i/>
          <w:iCs/>
          <w:sz w:val="22"/>
          <w:szCs w:val="22"/>
        </w:rPr>
      </w:r>
      <w:r>
        <w:rPr>
          <w:rFonts w:ascii="Calibri" w:hAnsi="Calibri" w:eastAsia="Calibri" w:cs="Calibri"/>
          <w:i/>
          <w:iCs/>
          <w:sz w:val="22"/>
          <w:szCs w:val="22"/>
        </w:rPr>
      </w:r>
    </w:p>
    <w:p w14:paraId="0000008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7"/>
        <w:jc w:val="both"/>
        <w:rPr>
          <w:rFonts w:ascii="Calibri" w:hAnsi="Calibri" w:eastAsia="Calibri" w:cs="Calibri"/>
          <w:sz w:val="22"/>
          <w:szCs w:val="22"/>
        </w:rPr>
      </w:pPr>
      <w:r/>
      <w:bookmarkStart w:id="9" w:name="_heading=h.k3gokpg6b1ej"/>
      <w:r/>
      <w:bookmarkEnd w:id="9"/>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 public contract for supplies at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unit</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w:t>
      </w:r>
      <w:r>
        <w:rPr>
          <w:rFonts w:ascii="Calibri" w:hAnsi="Calibri" w:eastAsia="Calibri" w:cs="Calibri"/>
          <w:sz w:val="22"/>
          <w:szCs w:val="22"/>
        </w:rPr>
      </w:r>
      <w:r>
        <w:rPr>
          <w:rFonts w:ascii="Calibri" w:hAnsi="Calibri" w:eastAsia="Calibri" w:cs="Calibri"/>
          <w:sz w:val="22"/>
          <w:szCs w:val="22"/>
        </w:rPr>
      </w:r>
    </w:p>
    <w:p w14:paraId="0000008D">
      <w:pPr>
        <w:pStyle w:val="1259"/>
        <w:pBdr/>
        <w:spacing w:after="60" w:before="120"/>
        <w:ind/>
        <w:rPr>
          <w:rFonts w:ascii="Calibri" w:hAnsi="Calibri" w:eastAsia="Calibri" w:cs="Calibri"/>
          <w:sz w:val="22"/>
          <w:szCs w:val="22"/>
        </w:rPr>
      </w:pPr>
      <w:r/>
      <w:bookmarkStart w:id="10" w:name="_heading=h.cc8q84wf83e2"/>
      <w:r/>
      <w:bookmarkEnd w:id="10"/>
      <w:r>
        <w:rPr>
          <w:rFonts w:ascii="Calibri" w:hAnsi="Calibri" w:eastAsia="Calibri" w:cs="Calibri"/>
          <w:sz w:val="22"/>
          <w:szCs w:val="22"/>
          <w:rtl w:val="0"/>
        </w:rPr>
        <w:t xml:space="preserve">Term of the Contract</w:t>
      </w:r>
      <w:r>
        <w:rPr>
          <w:rFonts w:ascii="Calibri" w:hAnsi="Calibri" w:eastAsia="Calibri" w:cs="Calibri"/>
          <w:sz w:val="22"/>
          <w:szCs w:val="22"/>
        </w:rPr>
      </w:r>
      <w:r>
        <w:rPr>
          <w:rFonts w:ascii="Calibri" w:hAnsi="Calibri" w:eastAsia="Calibri" w:cs="Calibri"/>
          <w:sz w:val="22"/>
          <w:szCs w:val="22"/>
        </w:rPr>
      </w:r>
    </w:p>
    <w:p w14:paraId="0000008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term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w:t>
      </w:r>
      <w:r>
        <w:rPr>
          <w:rFonts w:ascii="Calibri" w:hAnsi="Calibri" w:eastAsia="Calibri" w:cs="Calibri"/>
          <w:b w:val="0"/>
          <w:bCs w:val="0"/>
          <w:i w:val="0"/>
          <w:iCs w:val="0"/>
          <w:smallCaps/>
          <w:strike w:val="0"/>
          <w:color w:val="000000"/>
          <w:sz w:val="22"/>
          <w:szCs w:val="22"/>
          <w:highlight w:val="white"/>
          <w:u w:val="none"/>
          <w:vertAlign w:val="baseline"/>
          <w:rtl w:val="0"/>
        </w:rPr>
        <w:t xml:space="preserve">ntract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2,5</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mo</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nths from its award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expire after all</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have been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all rights and obligations of the Parties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been extinguished. 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by the specified period,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0">
      <w:pPr>
        <w:pStyle w:val="1259"/>
        <w:pBdr/>
        <w:spacing w:after="60" w:before="120"/>
        <w:ind/>
        <w:rPr>
          <w:rFonts w:ascii="Calibri" w:hAnsi="Calibri" w:eastAsia="Calibri" w:cs="Calibri"/>
          <w:sz w:val="22"/>
          <w:szCs w:val="22"/>
        </w:rPr>
      </w:pPr>
      <w:r/>
      <w:bookmarkStart w:id="11" w:name="_heading=h.d7ni47lszxva"/>
      <w:r/>
      <w:bookmarkEnd w:id="11"/>
      <w:r>
        <w:rPr>
          <w:rFonts w:ascii="Calibri" w:hAnsi="Calibri" w:eastAsia="Calibri" w:cs="Calibri"/>
          <w:sz w:val="22"/>
          <w:szCs w:val="22"/>
          <w:rtl w:val="0"/>
        </w:rPr>
        <w:t xml:space="preserve">Commencement and deadline of supply delivery</w:t>
      </w:r>
      <w:r>
        <w:rPr>
          <w:rFonts w:ascii="Calibri" w:hAnsi="Calibri" w:eastAsia="Calibri" w:cs="Calibri"/>
          <w:sz w:val="22"/>
          <w:szCs w:val="22"/>
        </w:rPr>
      </w:r>
      <w:r>
        <w:rPr>
          <w:rFonts w:ascii="Calibri" w:hAnsi="Calibri" w:eastAsia="Calibri" w:cs="Calibri"/>
          <w:sz w:val="22"/>
          <w:szCs w:val="22"/>
        </w:rPr>
      </w:r>
    </w:p>
    <w:p w14:paraId="0000009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supply delivery deadline under t</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his </w:t>
      </w:r>
      <w:r>
        <w:rPr>
          <w:rFonts w:ascii="Calibri" w:hAnsi="Calibri" w:eastAsia="Calibri" w:cs="Calibri"/>
          <w:b w:val="0"/>
          <w:bCs w:val="0"/>
          <w:i w:val="0"/>
          <w:iCs w:val="0"/>
          <w:smallCaps/>
          <w:strike w:val="0"/>
          <w:color w:val="000000"/>
          <w:sz w:val="22"/>
          <w:szCs w:val="22"/>
          <w:highlight w:val="white"/>
          <w:u w:val="none"/>
          <w:vertAlign w:val="baseline"/>
          <w:rtl w:val="0"/>
        </w:rPr>
        <w:t xml:space="preserve">Contract</w:t>
      </w:r>
      <w:r>
        <w:rPr>
          <w:rFonts w:ascii="Calibri" w:hAnsi="Calibri" w:eastAsia="Calibri" w:cs="Calibri"/>
          <w:smallCaps/>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 months</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from</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award date of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mallCaps/>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within the specified deadline,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3">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12" w:name="_heading=h.vt85cpi1j26r"/>
      <w:r/>
      <w:bookmarkEnd w:id="12"/>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FINANCIAL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94">
      <w:pPr>
        <w:pStyle w:val="1259"/>
        <w:pBdr/>
        <w:spacing w:after="60" w:before="120"/>
        <w:ind/>
        <w:rPr>
          <w:rFonts w:ascii="Calibri" w:hAnsi="Calibri" w:eastAsia="Calibri" w:cs="Calibri"/>
          <w:sz w:val="22"/>
          <w:szCs w:val="22"/>
        </w:rPr>
      </w:pPr>
      <w:r/>
      <w:bookmarkStart w:id="13" w:name="_heading=h.hgqg3dq68qg9"/>
      <w:r/>
      <w:bookmarkEnd w:id="13"/>
      <w:r>
        <w:rPr>
          <w:rFonts w:ascii="Calibri" w:hAnsi="Calibri" w:eastAsia="Calibri" w:cs="Calibri"/>
          <w:sz w:val="22"/>
          <w:szCs w:val="22"/>
          <w:rtl w:val="0"/>
        </w:rPr>
        <w:t xml:space="preserve">Amount of the Contract</w:t>
      </w:r>
      <w:r>
        <w:rPr>
          <w:rFonts w:ascii="Calibri" w:hAnsi="Calibri" w:eastAsia="Calibri" w:cs="Calibri"/>
          <w:sz w:val="22"/>
          <w:szCs w:val="22"/>
        </w:rPr>
      </w:r>
      <w:r>
        <w:rPr>
          <w:rFonts w:ascii="Calibri" w:hAnsi="Calibri" w:eastAsia="Calibri" w:cs="Calibri"/>
          <w:sz w:val="22"/>
          <w:szCs w:val="22"/>
        </w:rPr>
      </w:r>
    </w:p>
    <w:p w14:paraId="0000009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is: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State amount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sz w:val="22"/>
          <w:szCs w:val="22"/>
          <w:rtl w:val="0"/>
        </w:rPr>
        <w:t xml:space="preserve">UAH</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exc. VAT</w:t>
      </w:r>
      <w:r>
        <w:rPr>
          <w:rFonts w:ascii="Calibri" w:hAnsi="Calibri" w:eastAsia="Calibri" w:cs="Calibri"/>
          <w:sz w:val="22"/>
          <w:szCs w:val="22"/>
          <w:rtl w:val="0"/>
        </w:rPr>
        <w:t xml:space="preserv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w:t>
      </w:r>
      <w:r>
        <w:rPr>
          <w:rFonts w:ascii="Calibri" w:hAnsi="Calibri" w:eastAsia="Calibri" w:cs="Calibri"/>
          <w:sz w:val="22"/>
          <w:szCs w:val="22"/>
          <w:rtl w:val="0"/>
        </w:rPr>
        <w:t xml:space="preserve">UAH of VAT</w:t>
      </w:r>
      <w:r>
        <w:rPr>
          <w:rFonts w:ascii="Calibri" w:hAnsi="Calibri" w:eastAsia="Calibri" w:cs="Calibri"/>
          <w:sz w:val="22"/>
          <w:szCs w:val="22"/>
          <w:rtl w:val="0"/>
        </w:rPr>
        <w:t xml:space="preserve">, hence,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UAH  incl.. VAT.</w:t>
      </w:r>
      <w:r>
        <w:rPr>
          <w:rFonts w:ascii="Calibri" w:hAnsi="Calibri" w:eastAsia="Calibri" w:cs="Calibri"/>
          <w:sz w:val="22"/>
          <w:szCs w:val="22"/>
        </w:rPr>
      </w:r>
      <w:r>
        <w:rPr>
          <w:rFonts w:ascii="Calibri" w:hAnsi="Calibri" w:eastAsia="Calibri" w:cs="Calibri"/>
          <w:sz w:val="22"/>
          <w:szCs w:val="22"/>
        </w:rPr>
      </w:r>
    </w:p>
    <w:p w14:paraId="0000009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corresponds to the prices stated in the unit pricing schedule </w:t>
      </w:r>
      <w:r>
        <w:rPr>
          <w:rFonts w:ascii="Calibri" w:hAnsi="Calibri" w:eastAsia="Calibri" w:cs="Calibri"/>
          <w:sz w:val="22"/>
          <w:szCs w:val="22"/>
          <w:rtl w:val="0"/>
        </w:rPr>
        <w:t xml:space="preserve">as listed in the Annex 2. Financial proposal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applied to the quantities actually delivered.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unit prices include all costs and expenses (including taxes of all kinds) which apply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8">
      <w:pPr>
        <w:pStyle w:val="1259"/>
        <w:pBdr/>
        <w:spacing w:after="60" w:before="120"/>
        <w:ind/>
        <w:rPr>
          <w:rFonts w:ascii="Calibri" w:hAnsi="Calibri" w:eastAsia="Calibri" w:cs="Calibri"/>
          <w:sz w:val="22"/>
          <w:szCs w:val="22"/>
        </w:rPr>
      </w:pPr>
      <w:r/>
      <w:bookmarkStart w:id="14" w:name="_heading=h.scyyzxrvx1u0"/>
      <w:r/>
      <w:bookmarkEnd w:id="14"/>
      <w:r>
        <w:rPr>
          <w:rFonts w:ascii="Calibri" w:hAnsi="Calibri" w:eastAsia="Calibri" w:cs="Calibri"/>
          <w:sz w:val="22"/>
          <w:szCs w:val="22"/>
          <w:rtl w:val="0"/>
        </w:rPr>
        <w:t xml:space="preserve">Form of prices</w:t>
      </w:r>
      <w:r>
        <w:rPr>
          <w:rFonts w:ascii="Calibri" w:hAnsi="Calibri" w:eastAsia="Calibri" w:cs="Calibri"/>
          <w:sz w:val="22"/>
          <w:szCs w:val="22"/>
        </w:rPr>
      </w:r>
      <w:r>
        <w:rPr>
          <w:rFonts w:ascii="Calibri" w:hAnsi="Calibri" w:eastAsia="Calibri" w:cs="Calibri"/>
          <w:sz w:val="22"/>
          <w:szCs w:val="22"/>
        </w:rPr>
      </w:r>
    </w:p>
    <w:p w14:paraId="0000009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 are firm and non-modifiable.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A">
      <w:pPr>
        <w:pStyle w:val="1259"/>
        <w:pBdr/>
        <w:spacing w:after="60" w:before="120"/>
        <w:ind/>
        <w:rPr>
          <w:rFonts w:ascii="Calibri" w:hAnsi="Calibri" w:eastAsia="Calibri" w:cs="Calibri"/>
          <w:b w:val="0"/>
          <w:bCs w:val="0"/>
          <w:i w:val="0"/>
          <w:iCs w:val="0"/>
          <w:smallCaps w:val="0"/>
          <w:strike w:val="0"/>
          <w:color w:val="000000"/>
          <w:sz w:val="22"/>
          <w:szCs w:val="22"/>
          <w:u w:val="none"/>
          <w:shd w:val="clear" w:color="auto" w:fill="auto"/>
          <w:vertAlign w:val="baseline"/>
        </w:rPr>
      </w:pPr>
      <w:r/>
      <w:bookmarkStart w:id="15" w:name="_heading=h.jwwdw4wt6z1u"/>
      <w:r/>
      <w:bookmarkEnd w:id="15"/>
      <w:r>
        <w:rPr>
          <w:rFonts w:ascii="Calibri" w:hAnsi="Calibri" w:eastAsia="Calibri" w:cs="Calibri"/>
          <w:sz w:val="22"/>
          <w:szCs w:val="22"/>
          <w:rtl w:val="0"/>
        </w:rPr>
        <w:t xml:space="preserve">Advance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 advance will be granted.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C">
      <w:pPr>
        <w:pStyle w:val="1259"/>
        <w:pBdr/>
        <w:spacing w:after="60" w:before="120"/>
        <w:ind/>
        <w:jc w:val="both"/>
        <w:rPr>
          <w:rFonts w:ascii="Calibri" w:hAnsi="Calibri" w:eastAsia="Calibri" w:cs="Calibri"/>
          <w:sz w:val="22"/>
          <w:szCs w:val="22"/>
        </w:rPr>
      </w:pPr>
      <w:r/>
      <w:bookmarkStart w:id="16" w:name="_heading=h.431dyf601s4r"/>
      <w:r/>
      <w:bookmarkEnd w:id="16"/>
      <w:r>
        <w:rPr>
          <w:rFonts w:ascii="Calibri" w:hAnsi="Calibri" w:eastAsia="Calibri" w:cs="Calibri"/>
          <w:sz w:val="22"/>
          <w:szCs w:val="22"/>
          <w:rtl w:val="0"/>
        </w:rPr>
        <w:t xml:space="preserve">Payment terms and late payment interest</w:t>
      </w:r>
      <w:r>
        <w:rPr>
          <w:rFonts w:ascii="Calibri" w:hAnsi="Calibri" w:eastAsia="Calibri" w:cs="Calibri"/>
          <w:sz w:val="22"/>
          <w:szCs w:val="22"/>
        </w:rPr>
      </w:r>
      <w:r>
        <w:rPr>
          <w:rFonts w:ascii="Calibri" w:hAnsi="Calibri" w:eastAsia="Calibri" w:cs="Calibri"/>
          <w:sz w:val="22"/>
          <w:szCs w:val="22"/>
        </w:rPr>
      </w:r>
    </w:p>
    <w:p w14:paraId="000000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Overall payment terms for monies due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thirty (30) days maximum from the date of receipt of the complete invoice, including all supporting documentation, or the date of supply acceptance if this date is later. 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these payment terms are not respected,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pay late payment interest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pursuant to Article R. 2192-10 et seq. of the CCP on the fight against late payment in public procurement contracts. The rate applied shal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fixed indemnity to cover collection costs is set at forty (40) euros and will be systematically paid in addition to late payment interest. Interest below €40 shall not be mandated.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1">
      <w:pPr>
        <w:pStyle w:val="1259"/>
        <w:pBdr/>
        <w:spacing w:after="60" w:before="120"/>
        <w:ind/>
        <w:rPr>
          <w:rFonts w:ascii="Calibri" w:hAnsi="Calibri" w:eastAsia="Calibri" w:cs="Calibri"/>
          <w:sz w:val="22"/>
          <w:szCs w:val="22"/>
        </w:rPr>
      </w:pPr>
      <w:r/>
      <w:bookmarkStart w:id="17" w:name="_heading=h.etrb1igq1yvt"/>
      <w:r/>
      <w:bookmarkEnd w:id="17"/>
      <w:r>
        <w:rPr>
          <w:rFonts w:ascii="Calibri" w:hAnsi="Calibri" w:eastAsia="Calibri" w:cs="Calibri"/>
          <w:sz w:val="22"/>
          <w:szCs w:val="22"/>
          <w:rtl w:val="0"/>
        </w:rPr>
        <w:t xml:space="preserve">Presentation of payment demands</w:t>
      </w:r>
      <w:r>
        <w:rPr>
          <w:rFonts w:ascii="Calibri" w:hAnsi="Calibri" w:eastAsia="Calibri" w:cs="Calibri"/>
          <w:sz w:val="22"/>
          <w:szCs w:val="22"/>
        </w:rPr>
      </w:r>
      <w:r>
        <w:rPr>
          <w:rFonts w:ascii="Calibri" w:hAnsi="Calibri" w:eastAsia="Calibri" w:cs="Calibri"/>
          <w:sz w:val="22"/>
          <w:szCs w:val="22"/>
        </w:rPr>
      </w:r>
    </w:p>
    <w:p w14:paraId="000000A2">
      <w:pPr>
        <w:widowControl w:val="false"/>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In addition to the legal notices (intracommunity VAT no.), invoices relating to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must contain the following information:</w:t>
      </w:r>
      <w:r>
        <w:rPr>
          <w:rFonts w:ascii="Calibri" w:hAnsi="Calibri" w:eastAsia="Calibri" w:cs="Calibri"/>
          <w:sz w:val="22"/>
          <w:szCs w:val="22"/>
        </w:rPr>
      </w:r>
      <w:r>
        <w:rPr>
          <w:rFonts w:ascii="Calibri" w:hAnsi="Calibri" w:eastAsia="Calibri" w:cs="Calibri"/>
          <w:sz w:val="22"/>
          <w:szCs w:val="22"/>
        </w:rPr>
      </w:r>
    </w:p>
    <w:p w14:paraId="000000A3">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Company name, address and registered office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4">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Registration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(SIRET or equivalent);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5">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account details;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6">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the department acting as specifying department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4644701" cy="2644104"/>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rotWithShape="1">
                        <a:blip r:embed="rId21"/>
                        <a:srcRect l="0" t="0" r="0" b="0"/>
                        <a:stretch/>
                      </pic:blipFill>
                      <pic:spPr bwMode="auto">
                        <a:xfrm>
                          <a:off x="0" y="0"/>
                          <a:ext cx="4644701" cy="264410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5.72pt;height:208.20pt;mso-wrap-distance-left:0.00pt;mso-wrap-distance-top:0.00pt;mso-wrap-distance-right:0.00pt;mso-wrap-distance-bottom:0.00pt;z-index:1;">
                <v:imagedata r:id="rId2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0A8">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Reference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9">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reference and title of the cooperation project concerned (if applicable);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A">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Clear and accurate description of the equipment/supplies sold and/or services performed;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B">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 bank details are not stated on invoices, it must provide a statement or certificate of bank or post office account details,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 the third-party form duly completed in all cases.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are to be forwarded via the Chorus Pro system, and must state the department code provided above corresponding to the department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on behalf of which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been placed.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not obliged to forward invoices via Chorus, it may submit its invoices to the contact person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advances must be accompanied by the corresponding supporting documentation validated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balances (partial definitive payments) must be accompanied by a copy of the acceptance decision for the corresponding services and/or supplies.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1">
      <w:pPr>
        <w:pStyle w:val="1259"/>
        <w:pBdr/>
        <w:spacing w:after="60" w:before="120"/>
        <w:ind/>
        <w:jc w:val="both"/>
        <w:rPr>
          <w:rFonts w:ascii="Calibri" w:hAnsi="Calibri" w:eastAsia="Calibri" w:cs="Calibri"/>
          <w:b w:val="0"/>
          <w:bCs w:val="0"/>
          <w:sz w:val="22"/>
          <w:szCs w:val="22"/>
        </w:rPr>
      </w:pPr>
      <w:r/>
      <w:bookmarkStart w:id="18" w:name="_heading=h.vez20tpl05n"/>
      <w:r/>
      <w:bookmarkEnd w:id="18"/>
      <w:r>
        <w:rPr>
          <w:rFonts w:ascii="Calibri" w:hAnsi="Calibri" w:eastAsia="Calibri" w:cs="Calibri"/>
          <w:sz w:val="22"/>
          <w:szCs w:val="22"/>
          <w:rtl w:val="0"/>
        </w:rPr>
        <w:t xml:space="preserve">Bank transfer</w:t>
      </w:r>
      <w:r>
        <w:rPr>
          <w:rFonts w:ascii="Calibri" w:hAnsi="Calibri" w:eastAsia="Calibri" w:cs="Calibri"/>
          <w:b w:val="0"/>
          <w:bCs w:val="0"/>
          <w:sz w:val="22"/>
          <w:szCs w:val="22"/>
        </w:rPr>
      </w:r>
      <w:r>
        <w:rPr>
          <w:rFonts w:ascii="Calibri" w:hAnsi="Calibri" w:eastAsia="Calibri" w:cs="Calibri"/>
          <w:b w:val="0"/>
          <w:bCs w:val="0"/>
          <w:sz w:val="22"/>
          <w:szCs w:val="22"/>
        </w:rPr>
      </w:r>
    </w:p>
    <w:p w14:paraId="000000B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for invoiced</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will be made to the bank account identified in the third-party sheet.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4">
      <w:pPr>
        <w:pStyle w:val="1259"/>
        <w:pBdr/>
        <w:spacing w:after="60" w:before="120"/>
        <w:ind/>
        <w:rPr>
          <w:rFonts w:ascii="Calibri" w:hAnsi="Calibri" w:eastAsia="Calibri" w:cs="Calibri"/>
          <w:sz w:val="22"/>
          <w:szCs w:val="22"/>
        </w:rPr>
      </w:pPr>
      <w:r/>
      <w:bookmarkStart w:id="19" w:name="_heading=h.dr5jo3o9krpz"/>
      <w:r/>
      <w:bookmarkEnd w:id="19"/>
      <w:r>
        <w:rPr>
          <w:rFonts w:ascii="Calibri" w:hAnsi="Calibri" w:eastAsia="Calibri" w:cs="Calibri"/>
          <w:sz w:val="22"/>
          <w:szCs w:val="22"/>
          <w:rtl w:val="0"/>
        </w:rPr>
        <w:t xml:space="preserve">Value added tax (VAT)</w:t>
      </w:r>
      <w:r>
        <w:rPr>
          <w:rFonts w:ascii="Calibri" w:hAnsi="Calibri" w:eastAsia="Calibri" w:cs="Calibri"/>
          <w:sz w:val="22"/>
          <w:szCs w:val="22"/>
        </w:rPr>
      </w:r>
      <w:r>
        <w:rPr>
          <w:rFonts w:ascii="Calibri" w:hAnsi="Calibri" w:eastAsia="Calibri" w:cs="Calibri"/>
          <w:sz w:val="22"/>
          <w:szCs w:val="22"/>
        </w:rPr>
      </w:r>
    </w:p>
    <w:p w14:paraId="000000B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state the VAT rate applicable to the transaction or, as applicable, its VAT exemption by stating on the invoice the relevant provisions of the French General Tax Code or those of Directive 2006/112/EC of 28 November 2006.</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benefitting from exemption must state “VAT exempt” in accordance with the rules that apply to it.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7">
      <w:pPr>
        <w:pStyle w:val="1259"/>
        <w:pBdr/>
        <w:spacing w:after="60" w:before="120"/>
        <w:ind/>
        <w:jc w:val="both"/>
        <w:rPr>
          <w:rFonts w:ascii="Calibri" w:hAnsi="Calibri" w:eastAsia="Calibri" w:cs="Calibri"/>
          <w:sz w:val="22"/>
          <w:szCs w:val="22"/>
        </w:rPr>
      </w:pPr>
      <w:r/>
      <w:bookmarkStart w:id="20" w:name="_heading=h.dwtn8w13gxbz"/>
      <w:r/>
      <w:bookmarkEnd w:id="20"/>
      <w:r>
        <w:rPr>
          <w:rFonts w:ascii="Calibri" w:hAnsi="Calibri" w:eastAsia="Calibri" w:cs="Calibri"/>
          <w:sz w:val="22"/>
          <w:szCs w:val="22"/>
          <w:rtl w:val="0"/>
        </w:rPr>
        <w:t xml:space="preserve">Taxes and duties</w:t>
      </w:r>
      <w:r>
        <w:rPr>
          <w:rFonts w:ascii="Calibri" w:hAnsi="Calibri" w:eastAsia="Calibri" w:cs="Calibri"/>
          <w:sz w:val="22"/>
          <w:szCs w:val="22"/>
        </w:rPr>
      </w:r>
      <w:r>
        <w:rPr>
          <w:rFonts w:ascii="Calibri" w:hAnsi="Calibri" w:eastAsia="Calibri" w:cs="Calibri"/>
          <w:sz w:val="22"/>
          <w:szCs w:val="22"/>
        </w:rPr>
      </w:r>
    </w:p>
    <w:p w14:paraId="000000B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directly responsible for all taxes and duties that may be levied against it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both in the country of its registered office and in those of project implementation.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9">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993"/>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1" w:name="_heading=h.wcfy433vf9pl"/>
      <w:r/>
      <w:bookmarkEnd w:id="21"/>
      <w:r>
        <w:rPr>
          <w:rFonts w:ascii="Calibri" w:hAnsi="Calibri" w:eastAsia="Calibri" w:cs="Calibri"/>
          <w:b/>
          <w:bCs/>
          <w:i w:val="0"/>
          <w:iCs w:val="0"/>
          <w:smallCaps/>
          <w:strike w:val="0"/>
          <w:color w:val="000000"/>
          <w:sz w:val="24"/>
          <w:szCs w:val="24"/>
          <w:u w:val="single"/>
          <w:shd w:val="clear" w:color="auto" w:fill="auto"/>
          <w:vertAlign w:val="baseline"/>
          <w:rtl w:val="0"/>
        </w:rPr>
        <w:t xml:space="preserve">INSPECTION AND ACCEPTANCE ACTIVITIES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BA">
      <w:pPr>
        <w:pStyle w:val="1259"/>
        <w:keepNext w:val="false"/>
        <w:pBdr/>
        <w:spacing w:line="211" w:lineRule="auto"/>
        <w:ind w:firstLine="0" w:left="0"/>
        <w:jc w:val="both"/>
        <w:rPr>
          <w:rFonts w:ascii="Calibri" w:hAnsi="Calibri" w:eastAsia="Calibri" w:cs="Calibri"/>
          <w:sz w:val="22"/>
          <w:szCs w:val="22"/>
        </w:rPr>
      </w:pPr>
      <w:r/>
      <w:bookmarkStart w:id="22" w:name="_heading=h.wmqwrdox03gw"/>
      <w:r/>
      <w:bookmarkEnd w:id="22"/>
      <w:r>
        <w:rPr>
          <w:rFonts w:ascii="Calibri" w:hAnsi="Calibri" w:eastAsia="Calibri" w:cs="Calibri"/>
          <w:sz w:val="22"/>
          <w:szCs w:val="22"/>
          <w:rtl w:val="0"/>
        </w:rPr>
        <w:t xml:space="preserve">Inspection activities</w:t>
      </w:r>
      <w:r>
        <w:rPr>
          <w:rFonts w:ascii="Calibri" w:hAnsi="Calibri" w:eastAsia="Calibri" w:cs="Calibri"/>
          <w:sz w:val="22"/>
          <w:szCs w:val="22"/>
        </w:rPr>
      </w:r>
      <w:r>
        <w:rPr>
          <w:rFonts w:ascii="Calibri" w:hAnsi="Calibri" w:eastAsia="Calibri" w:cs="Calibri"/>
          <w:sz w:val="22"/>
          <w:szCs w:val="22"/>
        </w:rPr>
      </w:r>
    </w:p>
    <w:p w14:paraId="000000BB">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Inspection activities will be carried out for supplies as set out in Chapter 5 of the CCAG-FCS. By way of derogation from Article 23 of the CCAG-FCS, inspection activities will be carried out by:</w:t>
      </w:r>
      <w:r>
        <w:rPr>
          <w:rFonts w:ascii="Calibri" w:hAnsi="Calibri" w:eastAsia="Calibri" w:cs="Calibri"/>
          <w:sz w:val="22"/>
          <w:szCs w:val="22"/>
        </w:rPr>
      </w:r>
      <w:r>
        <w:rPr>
          <w:rFonts w:ascii="Calibri" w:hAnsi="Calibri" w:eastAsia="Calibri" w:cs="Calibri"/>
          <w:sz w:val="22"/>
          <w:szCs w:val="22"/>
        </w:rPr>
      </w:r>
    </w:p>
    <w:p w14:paraId="000000BC">
      <w:pPr>
        <w:widowControl w:val="false"/>
        <w:numPr>
          <w:ilvl w:val="0"/>
          <w:numId w:val="2"/>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BD">
      <w:pPr>
        <w:widowControl w:val="false"/>
        <w:numPr>
          <w:ilvl w:val="0"/>
          <w:numId w:val="2"/>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BE">
      <w:pPr>
        <w:pStyle w:val="1259"/>
        <w:keepNext w:val="false"/>
        <w:pBdr/>
        <w:spacing w:after="60" w:before="120" w:line="211" w:lineRule="auto"/>
        <w:ind w:firstLine="0" w:left="0"/>
        <w:jc w:val="both"/>
        <w:rPr>
          <w:rFonts w:ascii="Calibri" w:hAnsi="Calibri" w:eastAsia="Calibri" w:cs="Calibri"/>
          <w:sz w:val="22"/>
          <w:szCs w:val="22"/>
        </w:rPr>
      </w:pPr>
      <w:r/>
      <w:bookmarkStart w:id="23" w:name="_heading=h.ggr2axgx1xx3"/>
      <w:r/>
      <w:bookmarkEnd w:id="23"/>
      <w:r>
        <w:rPr>
          <w:rFonts w:ascii="Calibri" w:hAnsi="Calibri" w:eastAsia="Calibri" w:cs="Calibri"/>
          <w:sz w:val="22"/>
          <w:szCs w:val="22"/>
          <w:rtl w:val="0"/>
        </w:rPr>
        <w:t xml:space="preserve">Acceptance of supplies</w:t>
      </w:r>
      <w:r>
        <w:rPr>
          <w:rFonts w:ascii="Calibri" w:hAnsi="Calibri" w:eastAsia="Calibri" w:cs="Calibri"/>
          <w:sz w:val="22"/>
          <w:szCs w:val="22"/>
        </w:rPr>
      </w:r>
      <w:r>
        <w:rPr>
          <w:rFonts w:ascii="Calibri" w:hAnsi="Calibri" w:eastAsia="Calibri" w:cs="Calibri"/>
          <w:sz w:val="22"/>
          <w:szCs w:val="22"/>
        </w:rPr>
      </w:r>
    </w:p>
    <w:p w14:paraId="000000BF">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By way of derogation from Article 25 of the CCAG-FCS, acceptance activities will be carried out by:</w:t>
      </w:r>
      <w:r>
        <w:rPr>
          <w:rFonts w:ascii="Calibri" w:hAnsi="Calibri" w:eastAsia="Calibri" w:cs="Calibri"/>
          <w:sz w:val="22"/>
          <w:szCs w:val="22"/>
        </w:rPr>
      </w:r>
      <w:r>
        <w:rPr>
          <w:rFonts w:ascii="Calibri" w:hAnsi="Calibri" w:eastAsia="Calibri" w:cs="Calibri"/>
          <w:sz w:val="22"/>
          <w:szCs w:val="22"/>
        </w:rPr>
      </w:r>
    </w:p>
    <w:p w14:paraId="000000C0">
      <w:pPr>
        <w:widowControl w:val="false"/>
        <w:numPr>
          <w:ilvl w:val="0"/>
          <w:numId w:val="1"/>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C1">
      <w:pPr>
        <w:widowControl w:val="false"/>
        <w:numPr>
          <w:ilvl w:val="0"/>
          <w:numId w:val="1"/>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C2">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Any lack of response from Expertise France shall not equate to tacit acceptance of supplies.</w:t>
      </w:r>
      <w:r>
        <w:rPr>
          <w:rFonts w:ascii="Calibri" w:hAnsi="Calibri" w:eastAsia="Calibri" w:cs="Calibri"/>
          <w:sz w:val="22"/>
          <w:szCs w:val="22"/>
        </w:rPr>
      </w:r>
      <w:r>
        <w:rPr>
          <w:rFonts w:ascii="Calibri" w:hAnsi="Calibri" w:eastAsia="Calibri" w:cs="Calibri"/>
          <w:sz w:val="22"/>
          <w:szCs w:val="22"/>
        </w:rPr>
      </w:r>
    </w:p>
    <w:p w14:paraId="000000C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C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4" w:name="_heading=h.n4h0nhdixajl"/>
      <w:r/>
      <w:bookmarkEnd w:id="24"/>
      <w:r>
        <w:rPr>
          <w:rFonts w:ascii="Calibri" w:hAnsi="Calibri" w:eastAsia="Calibri" w:cs="Calibri"/>
          <w:b/>
          <w:bCs/>
          <w:i w:val="0"/>
          <w:iCs w:val="0"/>
          <w:smallCaps/>
          <w:strike w:val="0"/>
          <w:color w:val="000000"/>
          <w:sz w:val="24"/>
          <w:szCs w:val="24"/>
          <w:u w:val="single"/>
          <w:shd w:val="clear" w:color="auto" w:fill="auto"/>
          <w:vertAlign w:val="baseline"/>
          <w:rtl w:val="0"/>
        </w:rPr>
        <w:t xml:space="preserve">SPECIFIC TERMS OF EXECUTION</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C5">
      <w:pPr>
        <w:pStyle w:val="1259"/>
        <w:pBdr/>
        <w:spacing w:after="60" w:before="120"/>
        <w:ind/>
        <w:rPr>
          <w:rFonts w:ascii="Calibri" w:hAnsi="Calibri" w:eastAsia="Calibri" w:cs="Calibri"/>
          <w:sz w:val="22"/>
          <w:szCs w:val="22"/>
        </w:rPr>
      </w:pPr>
      <w:r/>
      <w:bookmarkStart w:id="25" w:name="_heading=h.j412ueym2kpc"/>
      <w:r/>
      <w:bookmarkEnd w:id="25"/>
      <w:r>
        <w:rPr>
          <w:rFonts w:ascii="Calibri" w:hAnsi="Calibri" w:eastAsia="Calibri" w:cs="Calibri"/>
          <w:sz w:val="22"/>
          <w:szCs w:val="22"/>
          <w:rtl w:val="0"/>
        </w:rPr>
        <w:t xml:space="preserve">Delivery</w:t>
      </w:r>
      <w:r>
        <w:rPr>
          <w:rFonts w:ascii="Calibri" w:hAnsi="Calibri" w:eastAsia="Calibri" w:cs="Calibri"/>
          <w:sz w:val="22"/>
          <w:szCs w:val="22"/>
        </w:rPr>
      </w:r>
      <w:r>
        <w:rPr>
          <w:rFonts w:ascii="Calibri" w:hAnsi="Calibri" w:eastAsia="Calibri" w:cs="Calibri"/>
          <w:sz w:val="22"/>
          <w:szCs w:val="22"/>
        </w:rPr>
      </w:r>
    </w:p>
    <w:p w14:paraId="000000C6">
      <w:pPr>
        <w:pBdr/>
        <w:spacing/>
        <w:ind w:firstLine="720" w:left="0"/>
        <w:jc w:val="both"/>
        <w:rPr>
          <w:rFonts w:ascii="Calibri" w:hAnsi="Calibri" w:eastAsia="Calibri" w:cs="Calibri"/>
          <w:sz w:val="22"/>
          <w:szCs w:val="22"/>
        </w:rPr>
      </w:pPr>
      <w:r>
        <w:rPr>
          <w:rFonts w:ascii="Calibri" w:hAnsi="Calibri" w:eastAsia="Calibri" w:cs="Calibri"/>
          <w:sz w:val="22"/>
          <w:szCs w:val="22"/>
          <w:rtl w:val="0"/>
        </w:rPr>
        <w:t xml:space="preserve">Supplies </w:t>
      </w:r>
      <w:r>
        <w:rPr>
          <w:rFonts w:ascii="Calibri" w:hAnsi="Calibri" w:eastAsia="Calibri" w:cs="Calibri"/>
          <w:sz w:val="22"/>
          <w:szCs w:val="22"/>
          <w:rtl w:val="0"/>
        </w:rPr>
        <w:t xml:space="preserve">shall be delivered at </w:t>
      </w:r>
      <w:r>
        <w:rPr>
          <w:rtl w:val="0"/>
        </w:rPr>
        <w:t xml:space="preserve">2020:DDP - Municipal Clinical Hospital №1 of the Odesa City Council in Odesa, Ukraine</w:t>
      </w:r>
      <w:r>
        <w:rPr>
          <w:rFonts w:ascii="Calibri" w:hAnsi="Calibri" w:eastAsia="Calibri" w:cs="Calibri"/>
          <w:sz w:val="22"/>
          <w:szCs w:val="22"/>
          <w:rtl w:val="0"/>
        </w:rPr>
        <w:t xml:space="preserve"> </w:t>
      </w:r>
      <w:r>
        <w:rPr>
          <w:rFonts w:ascii="Calibri" w:hAnsi="Calibri" w:eastAsia="Calibri" w:cs="Calibri"/>
          <w:sz w:val="22"/>
          <w:szCs w:val="22"/>
          <w:vertAlign w:val="superscript"/>
        </w:rPr>
        <w:footnoteReference w:id="2"/>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0C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the exact delivery date at least 15 calendar days in advance.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Deliveries may be made on any business day during normal working hours, at the agreed place of delivery.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delivery shall be accompanied by a delivery note in duplicate, duly signed and dated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its carrier, giving the particulars of the supplies delivered. One copy of the delivery note shall be countersigned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returned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to its carrier.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Signature of the delivery note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simply an acknowledgment of the fact that the delivery took place and in no way implies conformity of the supplies with the </w:t>
      </w:r>
      <w:r>
        <w:rPr>
          <w:rFonts w:ascii="Calibri" w:hAnsi="Calibri" w:eastAsia="Calibri" w:cs="Calibri"/>
          <w:sz w:val="22"/>
          <w:szCs w:val="22"/>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shall be declared only where the conditions laid down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satisfied and the supplies conform to the tender specifications (Annex I).</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Where, for reasons attributable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unable to accept the supplies, the Contractor shall be notified in writing at the latest by the deadline for the declaration of conformity.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of delivered supplies: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w:t>
        <w:tab/>
        <w:t xml:space="preserve">The quantity, quality, price, packaging and preparation of the supplies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conform with those specified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w:t>
        <w:tab/>
        <w:t xml:space="preserve">The supplies delivered must: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1)</w:t>
        <w:tab/>
        <w:t xml:space="preserve">correspond to the description given in the tender specifications (Annex I) and possess the characteristics of the supplies provided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 sample or model;</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2)</w:t>
        <w:tab/>
        <w:t xml:space="preserve">be fit for any specific purpose required of them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made known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at the time of conclusion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accepted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3)</w:t>
        <w:tab/>
        <w:t xml:space="preserve">be fit for the purposes for which supplies of the same type are normally used;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w:t>
        <w:tab/>
        <w:t xml:space="preserve">demonstrate the quality and performance which are normal in supplies of the same type and which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 reasonably expect, given the nature of the supplies and taking into account any public statements on the specific characteristics of the supplies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producer or its representative, particularly in advertising or on labelling;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5)</w:t>
        <w:tab/>
        <w:t xml:space="preserve">be packaged according to the usual method for supplies of the same type or, failing this, in a way designed to preserve and protect them.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4">
      <w:pPr>
        <w:pStyle w:val="1259"/>
        <w:pBdr/>
        <w:spacing w:after="60" w:before="120"/>
        <w:ind/>
        <w:jc w:val="both"/>
        <w:rPr>
          <w:rFonts w:ascii="Calibri" w:hAnsi="Calibri" w:eastAsia="Calibri" w:cs="Calibri"/>
          <w:sz w:val="22"/>
          <w:szCs w:val="22"/>
        </w:rPr>
      </w:pPr>
      <w:r/>
      <w:bookmarkStart w:id="26" w:name="_heading=h.mha3bdpqz17i"/>
      <w:r/>
      <w:bookmarkEnd w:id="26"/>
      <w:r>
        <w:rPr>
          <w:rFonts w:ascii="Calibri" w:hAnsi="Calibri" w:eastAsia="Calibri" w:cs="Calibri"/>
          <w:sz w:val="22"/>
          <w:szCs w:val="22"/>
          <w:rtl w:val="0"/>
        </w:rPr>
        <w:t xml:space="preserve">Export control</w:t>
      </w:r>
      <w:r>
        <w:rPr>
          <w:rFonts w:ascii="Calibri" w:hAnsi="Calibri" w:eastAsia="Calibri" w:cs="Calibri"/>
          <w:sz w:val="22"/>
          <w:szCs w:val="22"/>
        </w:rPr>
      </w:r>
      <w:r>
        <w:rPr>
          <w:rFonts w:ascii="Calibri" w:hAnsi="Calibri" w:eastAsia="Calibri" w:cs="Calibri"/>
          <w:sz w:val="22"/>
          <w:szCs w:val="22"/>
        </w:rPr>
      </w:r>
    </w:p>
    <w:p w14:paraId="000000D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goods covered by this contract may be subject to export authorisation. The contractor undertakes to comply in all circumstances with the applicable export c</w:t>
      </w:r>
      <w:r>
        <w:rPr>
          <w:rFonts w:ascii="Calibri" w:hAnsi="Calibri" w:eastAsia="Calibri" w:cs="Calibri"/>
          <w:sz w:val="22"/>
          <w:szCs w:val="22"/>
          <w:rtl w:val="0"/>
        </w:rPr>
        <w:t xml:space="preserve">ontrol regulations. The contractor shall submit to us the Export Control Classification Form (ECCF) duly completed and signed for each item. The Contractor shall inform the Buyer of any regulatory changes (classification/embargo) affecting the goods sold. </w:t>
      </w:r>
      <w:r>
        <w:rPr>
          <w:rFonts w:ascii="Calibri" w:hAnsi="Calibri" w:eastAsia="Calibri" w:cs="Calibri"/>
          <w:sz w:val="22"/>
          <w:szCs w:val="22"/>
        </w:rPr>
      </w:r>
      <w:r>
        <w:rPr>
          <w:rFonts w:ascii="Calibri" w:hAnsi="Calibri" w:eastAsia="Calibri" w:cs="Calibri"/>
          <w:sz w:val="22"/>
          <w:szCs w:val="22"/>
        </w:rPr>
      </w:r>
    </w:p>
    <w:p w14:paraId="000000D6">
      <w:pPr>
        <w:pBdr/>
        <w:spacing/>
        <w:ind w:firstLine="0" w:left="567"/>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D7">
      <w:pPr>
        <w:pBdr/>
        <w:spacing/>
        <w:ind w:firstLine="0" w:left="567"/>
        <w:jc w:val="both"/>
        <w:rPr>
          <w:rFonts w:ascii="Calibri" w:hAnsi="Calibri" w:eastAsia="Calibri" w:cs="Calibri"/>
          <w:sz w:val="22"/>
          <w:szCs w:val="22"/>
        </w:rPr>
      </w:pPr>
      <w:r>
        <w:rPr>
          <w:rFonts w:ascii="Calibri" w:hAnsi="Calibri" w:eastAsia="Calibri" w:cs="Calibri"/>
          <w:sz w:val="22"/>
          <w:szCs w:val="22"/>
          <w:rtl w:val="0"/>
        </w:rPr>
        <w:t xml:space="preserve">The execution of any export of classified military goods and their relates materiel, and/or dual-use goods, by the contractor (exporter) is conditional upon obtaining export authorisation and compliance with the associated conditions.</w:t>
      </w:r>
      <w:r>
        <w:rPr>
          <w:rFonts w:ascii="Calibri" w:hAnsi="Calibri" w:eastAsia="Calibri" w:cs="Calibri"/>
          <w:sz w:val="22"/>
          <w:szCs w:val="22"/>
        </w:rPr>
      </w:r>
      <w:r>
        <w:rPr>
          <w:rFonts w:ascii="Calibri" w:hAnsi="Calibri" w:eastAsia="Calibri" w:cs="Calibri"/>
          <w:sz w:val="22"/>
          <w:szCs w:val="22"/>
        </w:rPr>
      </w:r>
    </w:p>
    <w:p w14:paraId="000000D8">
      <w:pPr>
        <w:pStyle w:val="1259"/>
        <w:pBdr/>
        <w:spacing w:after="60" w:before="120"/>
        <w:ind/>
        <w:jc w:val="both"/>
        <w:rPr>
          <w:rFonts w:ascii="Calibri" w:hAnsi="Calibri" w:eastAsia="Calibri" w:cs="Calibri"/>
          <w:sz w:val="22"/>
          <w:szCs w:val="22"/>
        </w:rPr>
      </w:pPr>
      <w:r/>
      <w:bookmarkStart w:id="27" w:name="_heading=h.53bnhbriryvv"/>
      <w:r/>
      <w:bookmarkEnd w:id="27"/>
      <w:r>
        <w:rPr>
          <w:rFonts w:ascii="Calibri" w:hAnsi="Calibri" w:eastAsia="Calibri" w:cs="Calibri"/>
          <w:sz w:val="22"/>
          <w:szCs w:val="22"/>
          <w:rtl w:val="0"/>
        </w:rPr>
        <w:t xml:space="preserve">Language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0D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is written in English, which shall be the reference language for any dispute that may arise regarding the meaning or interpretation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exclusion of any other language.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A">
      <w:pPr>
        <w:pStyle w:val="1259"/>
        <w:pBdr/>
        <w:spacing w:after="60" w:before="120"/>
        <w:ind/>
        <w:jc w:val="both"/>
        <w:rPr>
          <w:rFonts w:ascii="Calibri" w:hAnsi="Calibri" w:eastAsia="Calibri" w:cs="Calibri"/>
          <w:sz w:val="22"/>
          <w:szCs w:val="22"/>
        </w:rPr>
      </w:pPr>
      <w:r/>
      <w:bookmarkStart w:id="28" w:name="_heading=h.mnlbrxqtziqr"/>
      <w:r/>
      <w:bookmarkEnd w:id="28"/>
      <w:r>
        <w:rPr>
          <w:rFonts w:ascii="Calibri" w:hAnsi="Calibri" w:eastAsia="Calibri" w:cs="Calibri"/>
          <w:sz w:val="22"/>
          <w:szCs w:val="22"/>
          <w:rtl w:val="0"/>
        </w:rPr>
        <w:t xml:space="preserve">Commitments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0D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subject to a </w:t>
      </w:r>
      <w:r>
        <w:rPr>
          <w:rFonts w:ascii="Calibri" w:hAnsi="Calibri" w:eastAsia="Calibri" w:cs="Calibri"/>
          <w:b w:val="0"/>
          <w:bCs w:val="0"/>
          <w:i w:val="0"/>
          <w:iCs w:val="0"/>
          <w:smallCaps w:val="0"/>
          <w:strike w:val="0"/>
          <w:color w:val="000000"/>
          <w:sz w:val="22"/>
          <w:szCs w:val="22"/>
          <w:u w:val="single"/>
          <w:shd w:val="clear" w:color="auto" w:fill="auto"/>
          <w:vertAlign w:val="baseline"/>
          <w:rtl w:val="0"/>
        </w:rPr>
        <w:t xml:space="preserve">performance obligation</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therefore undertakes 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the Specifications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immediately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in writing of any communication or instruction relating to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that it may receive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(beneficiary country or public entity) or from a third party, and not to comply with any such communication or instruction until having discussed the matter with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after receiving the latter’s written authorisation;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notify any difficulty it may encounter with the performance of its obligations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all applicable laws and regulations of the country of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and adopt an attitude and act vis-à-vis third parties in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such that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be reproached in this regard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by any person the latter may have designated;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0">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protect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1">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act as a loyal advisor vis-à-vis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2">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 itself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partners and local authorities as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engaged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3">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apply the undertakings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expressed in its Code of Ethics, provided in Annex 5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context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execution,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undertakes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5">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perform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delivery in a diligent, effective and economic manner, in accordance with generally accepted techniques and practices;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6">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employ appropriate modern techniques and safe and affective processes.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7">
      <w:pPr>
        <w:pStyle w:val="1259"/>
        <w:pBdr/>
        <w:spacing w:after="60" w:before="120"/>
        <w:ind/>
        <w:jc w:val="both"/>
        <w:rPr>
          <w:rFonts w:ascii="Calibri" w:hAnsi="Calibri" w:eastAsia="Calibri" w:cs="Calibri"/>
          <w:sz w:val="22"/>
          <w:szCs w:val="22"/>
        </w:rPr>
      </w:pPr>
      <w:r/>
      <w:bookmarkStart w:id="29" w:name="_heading=h.yrr4yw77lyye"/>
      <w:r/>
      <w:bookmarkEnd w:id="29"/>
      <w:r>
        <w:rPr>
          <w:rFonts w:ascii="Calibri" w:hAnsi="Calibri" w:eastAsia="Calibri" w:cs="Calibri"/>
          <w:sz w:val="22"/>
          <w:szCs w:val="22"/>
          <w:rtl w:val="0"/>
        </w:rPr>
        <w:t xml:space="preserve">Confidentiality</w:t>
      </w:r>
      <w:r>
        <w:rPr>
          <w:rFonts w:ascii="Calibri" w:hAnsi="Calibri" w:eastAsia="Calibri" w:cs="Calibri"/>
          <w:sz w:val="22"/>
          <w:szCs w:val="22"/>
        </w:rPr>
      </w:r>
      <w:r>
        <w:rPr>
          <w:rFonts w:ascii="Calibri" w:hAnsi="Calibri" w:eastAsia="Calibri" w:cs="Calibri"/>
          <w:sz w:val="22"/>
          <w:szCs w:val="22"/>
        </w:rPr>
      </w:r>
    </w:p>
    <w:p w14:paraId="000000E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treat as private and maintain the confidentiality of all documents and information received or which it becomes aware of in the context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 shall maintain the secrecy thereof and not use them for any purpose other than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9">
      <w:pPr>
        <w:pBdr/>
        <w:spacing/>
        <w:ind w:firstLine="567"/>
        <w:jc w:val="both"/>
        <w:rPr>
          <w:rFonts w:ascii="Calibri" w:hAnsi="Calibri" w:eastAsia="Calibri" w:cs="Calibri"/>
          <w:sz w:val="22"/>
          <w:szCs w:val="22"/>
        </w:rPr>
      </w:pPr>
      <w:r>
        <w:rPr>
          <w:rFonts w:ascii="Calibri" w:hAnsi="Calibri" w:eastAsia="Calibri" w:cs="Calibri"/>
          <w:sz w:val="22"/>
          <w:szCs w:val="22"/>
          <w:rtl w:val="0"/>
        </w:rPr>
        <w:t xml:space="preserve">In this regard,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undertakes: </w:t>
      </w:r>
      <w:r>
        <w:rPr>
          <w:rFonts w:ascii="Calibri" w:hAnsi="Calibri" w:eastAsia="Calibri" w:cs="Calibri"/>
          <w:sz w:val="22"/>
          <w:szCs w:val="22"/>
        </w:rPr>
      </w:r>
      <w:r>
        <w:rPr>
          <w:rFonts w:ascii="Calibri" w:hAnsi="Calibri" w:eastAsia="Calibri" w:cs="Calibri"/>
          <w:sz w:val="22"/>
          <w:szCs w:val="22"/>
        </w:rPr>
      </w:r>
    </w:p>
    <w:p w14:paraId="000000EA">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protect and maintain the confidentiality of information considered or presented as such;</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B">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handle confidential information it receives with the same degree of care and protection as it applies to its own confidential information;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only to reveal confidential information to its personnel and third parties involved in performance of the Contract after having received prior written and express approval from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take all necessary steps such that its personnel and third parties involved in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who become aware of confidential information, undertake to treat such information with the same level of confidentiality as set out in this clause;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and when required, to reiterate the confidential nature of such information to its personnel and third parties involved in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soon as said confidential information is communicated to the aforementioned persons;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reiterate the confidential nature of confidential information prior to any meeting during which confidential information is communicated.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Apart from where necessary for the purposes of </w:t>
      </w:r>
      <w:r>
        <w:rPr>
          <w:rFonts w:ascii="Calibri" w:hAnsi="Calibri" w:eastAsia="Calibri" w:cs="Calibri"/>
          <w:sz w:val="22"/>
          <w:szCs w:val="22"/>
          <w:rtl w:val="0"/>
        </w:rPr>
        <w:t xml:space="preserve">the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delivery,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may not disclose any element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without prior written consent from the other party.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1">
      <w:pPr>
        <w:pStyle w:val="1259"/>
        <w:pBdr/>
        <w:spacing w:after="60" w:before="120"/>
        <w:ind/>
        <w:jc w:val="both"/>
        <w:rPr>
          <w:rFonts w:ascii="Calibri" w:hAnsi="Calibri" w:eastAsia="Calibri" w:cs="Calibri"/>
          <w:sz w:val="22"/>
          <w:szCs w:val="22"/>
          <w:highlight w:val="white"/>
        </w:rPr>
      </w:pPr>
      <w:r/>
      <w:bookmarkStart w:id="30" w:name="_heading=h.wtc9xwems3n"/>
      <w:r/>
      <w:bookmarkEnd w:id="30"/>
      <w:r>
        <w:rPr>
          <w:rFonts w:ascii="Calibri" w:hAnsi="Calibri" w:eastAsia="Calibri" w:cs="Calibri"/>
          <w:sz w:val="22"/>
          <w:szCs w:val="22"/>
          <w:highlight w:val="white"/>
          <w:rtl w:val="0"/>
        </w:rPr>
        <w:t xml:space="preserve">Provision of documents </w:t>
      </w:r>
      <w:r>
        <w:rPr>
          <w:rFonts w:ascii="Calibri" w:hAnsi="Calibri" w:eastAsia="Calibri" w:cs="Calibri"/>
          <w:sz w:val="22"/>
          <w:szCs w:val="22"/>
          <w:highlight w:val="white"/>
        </w:rPr>
      </w:r>
      <w:r>
        <w:rPr>
          <w:rFonts w:ascii="Calibri" w:hAnsi="Calibri" w:eastAsia="Calibri" w:cs="Calibri"/>
          <w:sz w:val="22"/>
          <w:szCs w:val="22"/>
          <w:highlight w:val="white"/>
        </w:rPr>
      </w:r>
    </w:p>
    <w:p w14:paraId="000000F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highlight w:val="white"/>
          <w:u w:val="none"/>
          <w:vertAlign w:val="baseline"/>
        </w:rPr>
      </w:pP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shall ensure that the</w:t>
      </w:r>
      <w:r>
        <w:rPr>
          <w:rFonts w:ascii="Calibri" w:hAnsi="Calibri" w:eastAsia="Calibri" w:cs="Calibri"/>
          <w:b w:val="0"/>
          <w:bCs w:val="0"/>
          <w:i w:val="0"/>
          <w:iCs w:val="0"/>
          <w:smallCaps/>
          <w:strike w:val="0"/>
          <w:color w:val="000000"/>
          <w:sz w:val="22"/>
          <w:szCs w:val="22"/>
          <w:highlight w:val="white"/>
          <w:u w:val="none"/>
          <w:vertAlign w:val="baseline"/>
          <w:rtl w:val="0"/>
        </w:rPr>
        <w:t xml:space="preserve"> Contractor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receives in good time all the documents (as set out below) required for delivery of the</w:t>
      </w:r>
      <w:r>
        <w:rPr>
          <w:rFonts w:ascii="Calibri" w:hAnsi="Calibri" w:eastAsia="Calibri" w:cs="Calibri"/>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supplies:</w:t>
      </w:r>
      <w:r>
        <w:rPr>
          <w:rFonts w:ascii="Calibri" w:hAnsi="Calibri" w:eastAsia="Calibri" w:cs="Calibri"/>
          <w:b w:val="0"/>
          <w:bCs w:val="0"/>
          <w:i w:val="0"/>
          <w:iCs w:val="0"/>
          <w:smallCaps w:val="0"/>
          <w:strike w:val="0"/>
          <w:color w:val="000000"/>
          <w:sz w:val="22"/>
          <w:szCs w:val="22"/>
          <w:highlight w:val="white"/>
          <w:u w:val="none"/>
          <w:vertAlign w:val="baseline"/>
        </w:rPr>
      </w:r>
      <w:r>
        <w:rPr>
          <w:rFonts w:ascii="Calibri" w:hAnsi="Calibri" w:eastAsia="Calibri" w:cs="Calibri"/>
          <w:b w:val="0"/>
          <w:bCs w:val="0"/>
          <w:i w:val="0"/>
          <w:iCs w:val="0"/>
          <w:smallCaps w:val="0"/>
          <w:strike w:val="0"/>
          <w:color w:val="000000"/>
          <w:sz w:val="22"/>
          <w:szCs w:val="22"/>
          <w:highlight w:val="white"/>
          <w:u w:val="none"/>
          <w:vertAlign w:val="baseline"/>
        </w:rPr>
      </w:r>
    </w:p>
    <w:p w14:paraId="000000F3">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Technical offer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4">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Specifications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5">
      <w:pPr>
        <w:pStyle w:val="1259"/>
        <w:pBdr/>
        <w:spacing w:after="60" w:before="120"/>
        <w:ind/>
        <w:jc w:val="both"/>
        <w:rPr>
          <w:rFonts w:ascii="Calibri" w:hAnsi="Calibri" w:eastAsia="Calibri" w:cs="Calibri"/>
          <w:sz w:val="22"/>
          <w:szCs w:val="22"/>
        </w:rPr>
      </w:pPr>
      <w:r/>
      <w:bookmarkStart w:id="31" w:name="_heading=h.u5g7b1lmyu5q"/>
      <w:r/>
      <w:bookmarkEnd w:id="31"/>
      <w:r>
        <w:rPr>
          <w:rFonts w:ascii="Calibri" w:hAnsi="Calibri" w:eastAsia="Calibri" w:cs="Calibri"/>
          <w:sz w:val="22"/>
          <w:szCs w:val="22"/>
          <w:rtl w:val="0"/>
        </w:rPr>
        <w:t xml:space="preserve">Insurance</w:t>
      </w:r>
      <w:r>
        <w:rPr>
          <w:rFonts w:ascii="Calibri" w:hAnsi="Calibri" w:eastAsia="Calibri" w:cs="Calibri"/>
          <w:sz w:val="22"/>
          <w:szCs w:val="22"/>
        </w:rPr>
      </w:r>
      <w:r>
        <w:rPr>
          <w:rFonts w:ascii="Calibri" w:hAnsi="Calibri" w:eastAsia="Calibri" w:cs="Calibri"/>
          <w:sz w:val="22"/>
          <w:szCs w:val="22"/>
        </w:rPr>
      </w:r>
    </w:p>
    <w:p w14:paraId="000000F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out, and maintain at is own expense, third-party and professional liability insurance policies covering the physical injury and material and consequential damage that may arise from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t>
      </w:r>
      <w:r>
        <w:rPr>
          <w:rFonts w:ascii="Calibri" w:hAnsi="Calibri" w:eastAsia="Calibri" w:cs="Calibri"/>
          <w:sz w:val="22"/>
          <w:szCs w:val="22"/>
          <w:u w:val="single"/>
        </w:rPr>
      </w:r>
      <w:r>
        <w:rPr>
          <w:rFonts w:ascii="Calibri" w:hAnsi="Calibri" w:eastAsia="Calibri" w:cs="Calibri"/>
          <w:sz w:val="22"/>
          <w:szCs w:val="22"/>
          <w:u w:val="single"/>
        </w:rPr>
      </w:r>
    </w:p>
    <w:p w14:paraId="000000F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tl w:val="0"/>
        </w:rPr>
      </w:r>
      <w:r>
        <w:rPr>
          <w:rFonts w:ascii="Calibri" w:hAnsi="Calibri" w:eastAsia="Calibri" w:cs="Calibri"/>
          <w:sz w:val="22"/>
          <w:szCs w:val="22"/>
          <w:u w:val="single"/>
        </w:rPr>
      </w:r>
      <w:r>
        <w:rPr>
          <w:rFonts w:ascii="Calibri" w:hAnsi="Calibri" w:eastAsia="Calibri" w:cs="Calibri"/>
          <w:sz w:val="22"/>
          <w:szCs w:val="22"/>
          <w:u w:val="single"/>
        </w:rPr>
      </w:r>
    </w:p>
    <w:p w14:paraId="000000F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also take out, and maintain at its own expense, insurance policies covering its working accident and occupational illness liability with regard to its agents assigned to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smallCaps/>
          <w:sz w:val="22"/>
          <w:szCs w:val="22"/>
        </w:rPr>
      </w:r>
      <w:r>
        <w:rPr>
          <w:rFonts w:ascii="Calibri" w:hAnsi="Calibri" w:eastAsia="Calibri" w:cs="Calibri"/>
          <w:smallCaps/>
          <w:sz w:val="22"/>
          <w:szCs w:val="22"/>
        </w:rPr>
      </w:r>
    </w:p>
    <w:p w14:paraId="000000F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tl w:val="0"/>
        </w:rPr>
      </w:r>
      <w:r>
        <w:rPr>
          <w:rFonts w:ascii="Calibri" w:hAnsi="Calibri" w:eastAsia="Calibri" w:cs="Calibri"/>
          <w:smallCaps/>
          <w:sz w:val="22"/>
          <w:szCs w:val="22"/>
        </w:rPr>
      </w:r>
      <w:r>
        <w:rPr>
          <w:rFonts w:ascii="Calibri" w:hAnsi="Calibri" w:eastAsia="Calibri" w:cs="Calibri"/>
          <w:smallCaps/>
          <w:sz w:val="22"/>
          <w:szCs w:val="22"/>
        </w:rPr>
      </w:r>
    </w:p>
    <w:p w14:paraId="000000F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be able to produce on request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certificates demonstrating its possession of the aforementioned policies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strike w:val="0"/>
          <w:color w:val="000000"/>
          <w:sz w:val="22"/>
          <w:szCs w:val="22"/>
          <w:u w:val="none"/>
          <w:shd w:val="clear" w:color="auto" w:fill="auto"/>
          <w:vertAlign w:val="baseline"/>
        </w:rPr>
      </w:r>
      <w:r>
        <w:rPr>
          <w:rFonts w:ascii="Calibri" w:hAnsi="Calibri" w:eastAsia="Calibri" w:cs="Calibri"/>
          <w:b w:val="0"/>
          <w:bCs w:val="0"/>
          <w:i w:val="0"/>
          <w:iCs w:val="0"/>
          <w:smallCaps/>
          <w:strike w:val="0"/>
          <w:color w:val="000000"/>
          <w:sz w:val="22"/>
          <w:szCs w:val="22"/>
          <w:u w:val="none"/>
          <w:shd w:val="clear" w:color="auto" w:fill="auto"/>
          <w:vertAlign w:val="baseline"/>
        </w:rPr>
      </w:r>
    </w:p>
    <w:p w14:paraId="000000FB">
      <w:pPr>
        <w:pStyle w:val="1259"/>
        <w:pBdr/>
        <w:spacing w:after="60" w:before="240"/>
        <w:ind/>
        <w:jc w:val="both"/>
        <w:rPr>
          <w:rFonts w:ascii="Calibri" w:hAnsi="Calibri" w:eastAsia="Calibri" w:cs="Calibri"/>
          <w:sz w:val="22"/>
          <w:szCs w:val="22"/>
        </w:rPr>
      </w:pPr>
      <w:r/>
      <w:bookmarkStart w:id="32" w:name="_heading=h.7gqoskasf9yp"/>
      <w:r/>
      <w:bookmarkEnd w:id="32"/>
      <w:r>
        <w:rPr>
          <w:rFonts w:ascii="Calibri" w:hAnsi="Calibri" w:eastAsia="Calibri" w:cs="Calibri"/>
          <w:sz w:val="22"/>
          <w:szCs w:val="22"/>
          <w:rtl w:val="0"/>
        </w:rPr>
        <w:t xml:space="preserve">Contact person and communication</w:t>
      </w:r>
      <w:r>
        <w:rPr>
          <w:rFonts w:ascii="Calibri" w:hAnsi="Calibri" w:eastAsia="Calibri" w:cs="Calibri"/>
          <w:sz w:val="22"/>
          <w:szCs w:val="22"/>
        </w:rPr>
      </w:r>
      <w:r>
        <w:rPr>
          <w:rFonts w:ascii="Calibri" w:hAnsi="Calibri" w:eastAsia="Calibri" w:cs="Calibri"/>
          <w:sz w:val="22"/>
          <w:szCs w:val="22"/>
        </w:rPr>
      </w:r>
    </w:p>
    <w:p w14:paraId="000000F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communication and notifications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place in written form, either through the exchange of e-mails or via registered letter with acknowledgement of receipt, where the latter form is prohibited in certain cases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shall be deemed to have been validly served from its receipt by the addressee.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correspondence shall be forwarded, all carriage costs paid, to the following addresses: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bl>
      <w:tblPr>
        <w:tblStyle w:val="1270"/>
        <w:tblInd w:w="992" w:type="dxa"/>
        <w:tblW w:w="87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70"/>
        <w:gridCol w:w="4374"/>
        <w:tblGridChange w:id="4">
          <w:tblGrid>
            <w:gridCol w:w="4370"/>
            <w:gridCol w:w="4374"/>
          </w:tblGrid>
        </w:tblGridChange>
      </w:tblGrid>
      <w:tr>
        <w:trPr>
          <w:cantSplit w:val="false"/>
        </w:trPr>
        <w:tc>
          <w:tcPr>
            <w:tcBorders/>
            <w:vAlign w:val="center"/>
            <w:textDirection w:val="lrTb"/>
            <w:noWrap w:val="false"/>
          </w:tcPr>
          <w:p w14:paraId="000000F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sz w:val="22"/>
                <w:szCs w:val="22"/>
              </w:rPr>
            </w:pPr>
            <w:r>
              <w:rPr>
                <w:rFonts w:ascii="Calibri" w:hAnsi="Calibri" w:eastAsia="Calibri" w:cs="Calibri"/>
                <w:sz w:val="22"/>
                <w:szCs w:val="22"/>
                <w:rtl w:val="0"/>
              </w:rPr>
              <w:t xml:space="preserve">For E</w:t>
            </w:r>
            <w:r>
              <w:rPr>
                <w:rFonts w:ascii="Calibri" w:hAnsi="Calibri" w:eastAsia="Calibri" w:cs="Calibri"/>
                <w:sz w:val="22"/>
                <w:szCs w:val="22"/>
                <w:rtl w:val="0"/>
              </w:rPr>
              <w:t xml:space="preserve">xpertise France </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tc>
        <w:tc>
          <w:tcPr>
            <w:tcBorders/>
            <w:vAlign w:val="center"/>
            <w:textDirection w:val="lrTb"/>
            <w:noWrap w:val="false"/>
          </w:tcPr>
          <w:p w14:paraId="000000FF">
            <w:pPr>
              <w:widowControl w:val="false"/>
              <w:pBdr/>
              <w:spacing w:after="240" w:before="240"/>
              <w:ind/>
              <w:jc w:val="both"/>
              <w:rPr>
                <w:rFonts w:ascii="Calibri" w:hAnsi="Calibri" w:eastAsia="Calibri" w:cs="Calibri"/>
                <w:sz w:val="22"/>
                <w:szCs w:val="22"/>
              </w:rPr>
            </w:pPr>
            <w:r>
              <w:rPr>
                <w:rFonts w:ascii="Calibri" w:hAnsi="Calibri" w:eastAsia="Calibri" w:cs="Calibri"/>
                <w:sz w:val="22"/>
                <w:szCs w:val="22"/>
                <w:rtl w:val="0"/>
              </w:rPr>
              <w:t xml:space="preserve">EXPERTISE FRANCE</w:t>
              <w:br/>
              <w:t xml:space="preserve">Mathieu Radoube</w:t>
              <w:br/>
              <w:t xml:space="preserve">Geographical department</w:t>
              <w:br/>
              <w:t xml:space="preserve">40, boulevard de Port-Royal</w:t>
              <w:br/>
              <w:t xml:space="preserve">75005 PARIS, FRANCE</w:t>
              <w:br/>
            </w:r>
            <w:hyperlink r:id="rId22" w:tooltip="mailto:mathieu.radoube@expertisefrance.fr" w:history="1">
              <w:r>
                <w:rPr>
                  <w:rFonts w:ascii="Calibri" w:hAnsi="Calibri" w:eastAsia="Calibri" w:cs="Calibri"/>
                  <w:color w:val="1155cc"/>
                  <w:sz w:val="22"/>
                  <w:szCs w:val="22"/>
                  <w:u w:val="single"/>
                  <w:rtl w:val="0"/>
                </w:rPr>
                <w:t xml:space="preserve">mathieu.radoube@expertisefrance.fr</w:t>
              </w:r>
            </w:hyperlink>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tc>
      </w:tr>
      <w:tr>
        <w:trPr>
          <w:cantSplit w:val="false"/>
        </w:trPr>
        <w:tc>
          <w:tcPr>
            <w:tcBorders/>
            <w:vAlign w:val="center"/>
            <w:textDirection w:val="lrTb"/>
            <w:noWrap w:val="false"/>
          </w:tcPr>
          <w:p w14:paraId="0000010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c>
        <w:tc>
          <w:tcPr>
            <w:tcBorders/>
            <w:vAlign w:val="center"/>
            <w:textDirection w:val="lrTb"/>
            <w:noWrap w:val="false"/>
          </w:tcPr>
          <w:p w14:paraId="0000010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To be completed by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tc>
      </w:tr>
    </w:tbl>
    <w:p w14:paraId="0000010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modify its address at any time subject to notifying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thereof in writing.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3">
      <w:pPr>
        <w:pStyle w:val="1259"/>
        <w:pBdr/>
        <w:spacing w:after="60" w:before="240"/>
        <w:ind/>
        <w:jc w:val="both"/>
        <w:rPr>
          <w:rFonts w:ascii="Calibri" w:hAnsi="Calibri" w:eastAsia="Calibri" w:cs="Calibri"/>
          <w:sz w:val="22"/>
          <w:szCs w:val="22"/>
        </w:rPr>
      </w:pPr>
      <w:r/>
      <w:bookmarkStart w:id="33" w:name="_heading=h.kdlp4bhu7rfk"/>
      <w:r/>
      <w:bookmarkEnd w:id="33"/>
      <w:r>
        <w:rPr>
          <w:rFonts w:ascii="Calibri" w:hAnsi="Calibri" w:eastAsia="Calibri" w:cs="Calibri"/>
          <w:sz w:val="22"/>
          <w:szCs w:val="22"/>
          <w:rtl w:val="0"/>
        </w:rPr>
        <w:t xml:space="preserve">Understaking against deforestation</w:t>
      </w:r>
      <w:r>
        <w:rPr>
          <w:rFonts w:ascii="Calibri" w:hAnsi="Calibri" w:eastAsia="Calibri" w:cs="Calibri"/>
          <w:sz w:val="22"/>
          <w:szCs w:val="22"/>
        </w:rPr>
      </w:r>
      <w:r>
        <w:rPr>
          <w:rFonts w:ascii="Calibri" w:hAnsi="Calibri" w:eastAsia="Calibri" w:cs="Calibri"/>
          <w:sz w:val="22"/>
          <w:szCs w:val="22"/>
        </w:rPr>
      </w:r>
    </w:p>
    <w:p w14:paraId="0000010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139"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Within the framework of the 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Meat;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6">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Eggs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7">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Dairy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8">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Ready-made meals, margarine, spreads;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9">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Leather shoes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A">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Automotive upholstery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B">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Household and cleaning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C">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Agrofuels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D">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Lumber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E">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Solid wood or particle;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F">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0">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Paper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1">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Cardboard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2">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Textiles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3">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Coffee, chocolate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4">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Exotic fruits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Electronics.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For more information, the guide Engaging in Zero Deforestation Public Procurement is available at the following email address : </w:t>
      </w:r>
      <w:hyperlink r:id="rId23" w:tooltip="https://www.ecologie.gouv.fr/sites/default/files/Guide_politique_achat_public_zero_deforestation.pdf" w:history="1">
        <w:r>
          <w:rPr>
            <w:rFonts w:ascii="Calibri" w:hAnsi="Calibri" w:eastAsia="Calibri" w:cs="Calibri"/>
            <w:color w:val="0000ff"/>
            <w:sz w:val="22"/>
            <w:szCs w:val="22"/>
            <w:u w:val="single"/>
            <w:rtl w:val="0"/>
          </w:rPr>
          <w:t xml:space="preserve">https://www.ecologie.gouv.fr/sites/default/files/Guide_politique_achat_public_zero_deforestation.pdf</w:t>
        </w:r>
      </w:hyperlink>
      <w:r>
        <w:rPr>
          <w:rFonts w:ascii="Calibri" w:hAnsi="Calibri" w:eastAsia="Calibri" w:cs="Calibri"/>
          <w:sz w:val="22"/>
          <w:szCs w:val="22"/>
        </w:rPr>
      </w:r>
      <w:r>
        <w:rPr>
          <w:rFonts w:ascii="Calibri" w:hAnsi="Calibri" w:eastAsia="Calibri" w:cs="Calibri"/>
          <w:sz w:val="22"/>
          <w:szCs w:val="22"/>
        </w:rPr>
      </w:r>
    </w:p>
    <w:p w14:paraId="00000117">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4" w:name="_heading=h.h5esbcxpu77w"/>
      <w:r/>
      <w:bookmarkEnd w:id="34"/>
      <w:r>
        <w:rPr>
          <w:rFonts w:ascii="Calibri" w:hAnsi="Calibri" w:eastAsia="Calibri" w:cs="Calibri"/>
          <w:b/>
          <w:bCs/>
          <w:i w:val="0"/>
          <w:iCs w:val="0"/>
          <w:smallCaps/>
          <w:strike w:val="0"/>
          <w:color w:val="000000"/>
          <w:sz w:val="24"/>
          <w:szCs w:val="24"/>
          <w:u w:val="single"/>
          <w:shd w:val="clear" w:color="auto" w:fill="auto"/>
          <w:vertAlign w:val="baseline"/>
          <w:rtl w:val="0"/>
        </w:rPr>
        <w:t xml:space="preserve">RE-EXAMINATION CLAUSE</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 Article R.2194-1 et seq. of the Public Procurement Code,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amend the provisions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subject to the following conditions: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9">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Substitution with a new pricing schedule if deletions, modifications or additions are made to the items in the initial pricing schedule, subject to approval by </w:t>
      </w: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A">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Revision of technical elements (clarification of deliverables, producer technical definitions, equipment technical documents, updated instructions, etc.)].</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Such modifications shall be notified to the Contractor: by concluding an amendment.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C">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5" w:name="_heading=h.e1apimnyxp8g"/>
      <w:r/>
      <w:bookmarkEnd w:id="35"/>
      <w:r>
        <w:rPr>
          <w:rFonts w:ascii="Calibri" w:hAnsi="Calibri" w:eastAsia="Calibri" w:cs="Calibri"/>
          <w:b/>
          <w:bCs/>
          <w:i w:val="0"/>
          <w:iCs w:val="0"/>
          <w:smallCaps/>
          <w:strike w:val="0"/>
          <w:color w:val="000000"/>
          <w:sz w:val="24"/>
          <w:szCs w:val="24"/>
          <w:u w:val="single"/>
          <w:shd w:val="clear" w:color="auto" w:fill="auto"/>
          <w:vertAlign w:val="baseline"/>
          <w:rtl w:val="0"/>
        </w:rPr>
        <w:t xml:space="preserve">SIMILAR SERVICES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D">
      <w:pPr>
        <w:widowControl w:val="false"/>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Under Article R.2122-7 of the French Public Procurement Code,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be awarded a contract for similar services to those of the initial contract without advertising or competitive bidding.</w:t>
      </w:r>
      <w:r>
        <w:rPr>
          <w:rFonts w:ascii="Calibri" w:hAnsi="Calibri" w:eastAsia="Calibri" w:cs="Calibri"/>
          <w:sz w:val="22"/>
          <w:szCs w:val="22"/>
        </w:rPr>
      </w:r>
      <w:r>
        <w:rPr>
          <w:rFonts w:ascii="Calibri" w:hAnsi="Calibri" w:eastAsia="Calibri" w:cs="Calibri"/>
          <w:sz w:val="22"/>
          <w:szCs w:val="22"/>
        </w:rPr>
      </w:r>
    </w:p>
    <w:p w14:paraId="0000011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6" w:name="_heading=h.ie2f457tnbxo"/>
      <w:r/>
      <w:bookmarkEnd w:id="36"/>
      <w:r>
        <w:rPr>
          <w:rFonts w:ascii="Calibri" w:hAnsi="Calibri" w:eastAsia="Calibri" w:cs="Calibri"/>
          <w:b/>
          <w:bCs/>
          <w:i w:val="0"/>
          <w:iCs w:val="0"/>
          <w:smallCaps/>
          <w:strike w:val="0"/>
          <w:color w:val="000000"/>
          <w:sz w:val="24"/>
          <w:szCs w:val="24"/>
          <w:u w:val="single"/>
          <w:shd w:val="clear" w:color="auto" w:fill="auto"/>
          <w:vertAlign w:val="baseline"/>
          <w:rtl w:val="0"/>
        </w:rPr>
        <w:t xml:space="preserve">PENALTIES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penalties will be applied within the calculation of the balance due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0">
      <w:pPr>
        <w:pStyle w:val="1259"/>
        <w:pBdr/>
        <w:spacing w:after="60" w:before="120"/>
        <w:ind/>
        <w:jc w:val="both"/>
        <w:rPr>
          <w:rFonts w:ascii="Calibri" w:hAnsi="Calibri" w:eastAsia="Calibri" w:cs="Calibri"/>
          <w:sz w:val="22"/>
          <w:szCs w:val="22"/>
        </w:rPr>
      </w:pPr>
      <w:r/>
      <w:bookmarkStart w:id="37" w:name="_heading=h.9c3o6ztus7ii"/>
      <w:r/>
      <w:bookmarkEnd w:id="37"/>
      <w:r>
        <w:rPr>
          <w:rFonts w:ascii="Calibri" w:hAnsi="Calibri" w:eastAsia="Calibri" w:cs="Calibri"/>
          <w:sz w:val="22"/>
          <w:szCs w:val="22"/>
          <w:rtl w:val="0"/>
        </w:rPr>
        <w:t xml:space="preserve">Penalties for periodic documentary deliverables</w:t>
      </w:r>
      <w:r>
        <w:rPr>
          <w:rFonts w:ascii="Calibri" w:hAnsi="Calibri" w:eastAsia="Calibri" w:cs="Calibri"/>
          <w:sz w:val="22"/>
          <w:szCs w:val="22"/>
        </w:rPr>
      </w:r>
      <w:r>
        <w:rPr>
          <w:rFonts w:ascii="Calibri" w:hAnsi="Calibri" w:eastAsia="Calibri" w:cs="Calibri"/>
          <w:sz w:val="22"/>
          <w:szCs w:val="22"/>
        </w:rPr>
      </w:r>
    </w:p>
    <w:p w14:paraId="0000012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€50 net per day of delay in the delivery of the periodic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2">
      <w:pPr>
        <w:pStyle w:val="1259"/>
        <w:pBdr/>
        <w:spacing w:after="60" w:before="120"/>
        <w:ind/>
        <w:jc w:val="both"/>
        <w:rPr>
          <w:rFonts w:ascii="Calibri" w:hAnsi="Calibri" w:eastAsia="Calibri" w:cs="Calibri"/>
          <w:sz w:val="22"/>
          <w:szCs w:val="22"/>
        </w:rPr>
      </w:pPr>
      <w:r/>
      <w:bookmarkStart w:id="38" w:name="_heading=h.ebfumdg3tmjj"/>
      <w:r/>
      <w:bookmarkEnd w:id="38"/>
      <w:r>
        <w:rPr>
          <w:rFonts w:ascii="Calibri" w:hAnsi="Calibri" w:eastAsia="Calibri" w:cs="Calibri"/>
          <w:sz w:val="22"/>
          <w:szCs w:val="22"/>
          <w:rtl w:val="0"/>
        </w:rPr>
        <w:t xml:space="preserve">Penalties applicable to submission of final deliverables</w:t>
      </w:r>
      <w:r>
        <w:rPr>
          <w:rFonts w:ascii="Calibri" w:hAnsi="Calibri" w:eastAsia="Calibri" w:cs="Calibri"/>
          <w:sz w:val="22"/>
          <w:szCs w:val="22"/>
        </w:rPr>
      </w:r>
      <w:r>
        <w:rPr>
          <w:rFonts w:ascii="Calibri" w:hAnsi="Calibri" w:eastAsia="Calibri" w:cs="Calibri"/>
          <w:sz w:val="22"/>
          <w:szCs w:val="22"/>
        </w:rPr>
      </w:r>
    </w:p>
    <w:p w14:paraId="0000012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€100 net per day of delay in the delivery of the final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9" w:name="_heading=h.3a5gw1rmtd9z"/>
      <w:r/>
      <w:bookmarkEnd w:id="39"/>
      <w:r>
        <w:rPr>
          <w:rFonts w:ascii="Calibri" w:hAnsi="Calibri" w:eastAsia="Calibri" w:cs="Calibri"/>
          <w:b/>
          <w:bCs/>
          <w:i w:val="0"/>
          <w:iCs w:val="0"/>
          <w:smallCaps/>
          <w:strike w:val="0"/>
          <w:color w:val="000000"/>
          <w:sz w:val="24"/>
          <w:szCs w:val="24"/>
          <w:u w:val="single"/>
          <w:shd w:val="clear" w:color="auto" w:fill="auto"/>
          <w:vertAlign w:val="baseline"/>
          <w:rtl w:val="0"/>
        </w:rPr>
        <w:t xml:space="preserve">INTELLECTUAL PROPERTY</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25">
      <w:pPr>
        <w:pStyle w:val="1259"/>
        <w:pBdr/>
        <w:spacing w:after="60" w:before="120"/>
        <w:ind/>
        <w:jc w:val="both"/>
        <w:rPr>
          <w:rFonts w:ascii="Calibri" w:hAnsi="Calibri" w:eastAsia="Calibri" w:cs="Calibri"/>
          <w:sz w:val="22"/>
          <w:szCs w:val="22"/>
        </w:rPr>
      </w:pPr>
      <w:r/>
      <w:bookmarkStart w:id="40" w:name="_heading=h.mvjlz5k59fyz"/>
      <w:r/>
      <w:bookmarkEnd w:id="40"/>
      <w:r>
        <w:rPr>
          <w:rFonts w:ascii="Calibri" w:hAnsi="Calibri" w:eastAsia="Calibri" w:cs="Calibri"/>
          <w:sz w:val="22"/>
          <w:szCs w:val="22"/>
          <w:rtl w:val="0"/>
        </w:rPr>
        <w:t xml:space="preserve">Definitions</w:t>
      </w:r>
      <w:r>
        <w:rPr>
          <w:rFonts w:ascii="Calibri" w:hAnsi="Calibri" w:eastAsia="Calibri" w:cs="Calibri"/>
          <w:sz w:val="22"/>
          <w:szCs w:val="22"/>
        </w:rPr>
      </w:r>
      <w:r>
        <w:rPr>
          <w:rFonts w:ascii="Calibri" w:hAnsi="Calibri" w:eastAsia="Calibri" w:cs="Calibri"/>
          <w:sz w:val="22"/>
          <w:szCs w:val="22"/>
        </w:rPr>
      </w:r>
    </w:p>
    <w:p w14:paraId="00000126">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Assignment provided for by this article requires definition of the following terms: </w:t>
      </w:r>
      <w:r>
        <w:rPr>
          <w:rFonts w:ascii="Calibri" w:hAnsi="Calibri" w:eastAsia="Calibri" w:cs="Calibri"/>
          <w:sz w:val="22"/>
          <w:szCs w:val="22"/>
        </w:rPr>
      </w:r>
      <w:r>
        <w:rPr>
          <w:rFonts w:ascii="Calibri" w:hAnsi="Calibri" w:eastAsia="Calibri" w:cs="Calibri"/>
          <w:sz w:val="22"/>
          <w:szCs w:val="22"/>
        </w:rPr>
      </w:r>
    </w:p>
    <w:p w14:paraId="00000127">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“Result” means any intended outcome of the performance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which is delivered and definitively accepted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8">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“Creator” means any natural person who contributed to the production of the result;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9">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“Pre-existing right” means any intellectual property right, including pre-existing technologies owned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third party with a prior interest in the order to be executed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A">
      <w:pPr>
        <w:pStyle w:val="1259"/>
        <w:pBdr/>
        <w:spacing w:after="60" w:before="120"/>
        <w:ind/>
        <w:jc w:val="both"/>
        <w:rPr>
          <w:rFonts w:ascii="Calibri" w:hAnsi="Calibri" w:eastAsia="Calibri" w:cs="Calibri"/>
          <w:sz w:val="22"/>
          <w:szCs w:val="22"/>
        </w:rPr>
      </w:pPr>
      <w:r/>
      <w:bookmarkStart w:id="41" w:name="_heading=h.d0jv05i7qd1s"/>
      <w:r/>
      <w:bookmarkEnd w:id="41"/>
      <w:r>
        <w:rPr>
          <w:rFonts w:ascii="Calibri" w:hAnsi="Calibri" w:eastAsia="Calibri" w:cs="Calibri"/>
          <w:sz w:val="22"/>
          <w:szCs w:val="22"/>
          <w:rtl w:val="0"/>
        </w:rPr>
        <w:t xml:space="preserve">Ownership of results</w:t>
      </w:r>
      <w:r>
        <w:rPr>
          <w:rFonts w:ascii="Calibri" w:hAnsi="Calibri" w:eastAsia="Calibri" w:cs="Calibri"/>
          <w:sz w:val="22"/>
          <w:szCs w:val="22"/>
        </w:rPr>
      </w:r>
      <w:r>
        <w:rPr>
          <w:rFonts w:ascii="Calibri" w:hAnsi="Calibri" w:eastAsia="Calibri" w:cs="Calibri"/>
          <w:sz w:val="22"/>
          <w:szCs w:val="22"/>
        </w:rPr>
      </w:r>
    </w:p>
    <w:p w14:paraId="0000012B">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ownership of results, and the title to related intellectual and industrial property rights, including the solutions and technical information they contain, are entirely and irrevocably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This Assignment only covers the economic rights of creators under the conditions set out in Article 8.3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The moral rights of creators are excluded. Such moral rights cover the disclosure, paternity and respect for the integrity of the results treated as a work within the meaning of the French Intellectual Property Code.</w:t>
      </w:r>
      <w:r>
        <w:rPr>
          <w:rFonts w:ascii="Calibri" w:hAnsi="Calibri" w:eastAsia="Calibri" w:cs="Calibri"/>
          <w:sz w:val="22"/>
          <w:szCs w:val="22"/>
        </w:rPr>
      </w:r>
      <w:r>
        <w:rPr>
          <w:rFonts w:ascii="Calibri" w:hAnsi="Calibri" w:eastAsia="Calibri" w:cs="Calibri"/>
          <w:sz w:val="22"/>
          <w:szCs w:val="22"/>
        </w:rPr>
      </w:r>
    </w:p>
    <w:p w14:paraId="0000012C">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aforementioned elements shall be deemed to be effectively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after acceptance of the results delivered to it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2D">
      <w:pPr>
        <w:pBdr/>
        <w:spacing w:line="240" w:lineRule="auto"/>
        <w:ind w:firstLine="0" w:left="567"/>
        <w:jc w:val="both"/>
        <w:rPr>
          <w:sz w:val="22"/>
          <w:szCs w:val="22"/>
        </w:rPr>
      </w:pPr>
      <w:r>
        <w:rPr>
          <w:rFonts w:ascii="Calibri" w:hAnsi="Calibri" w:eastAsia="Calibri" w:cs="Calibri"/>
          <w:sz w:val="22"/>
          <w:szCs w:val="22"/>
          <w:rtl w:val="0"/>
        </w:rPr>
        <w:t xml:space="preserve">The payment of the price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deemed to include any fees payable to the Contractor in relation to the acquisition of rights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notably all forms of exploitation of the results. The acquisition of such covers all territories worldwide. </w:t>
      </w:r>
      <w:r>
        <w:rPr>
          <w:sz w:val="22"/>
          <w:szCs w:val="22"/>
        </w:rPr>
      </w:r>
      <w:r>
        <w:rPr>
          <w:sz w:val="22"/>
          <w:szCs w:val="22"/>
        </w:rPr>
      </w:r>
    </w:p>
    <w:p w14:paraId="0000012E">
      <w:pPr>
        <w:pStyle w:val="1259"/>
        <w:pBdr/>
        <w:spacing w:after="60" w:before="120"/>
        <w:ind/>
        <w:jc w:val="both"/>
        <w:rPr>
          <w:rFonts w:ascii="Calibri" w:hAnsi="Calibri" w:eastAsia="Calibri" w:cs="Calibri"/>
          <w:sz w:val="22"/>
          <w:szCs w:val="22"/>
        </w:rPr>
      </w:pPr>
      <w:r/>
      <w:bookmarkStart w:id="42" w:name="_heading=h.4mvfu9msvyo4"/>
      <w:r/>
      <w:bookmarkEnd w:id="42"/>
      <w:r>
        <w:rPr>
          <w:rFonts w:ascii="Calibri" w:hAnsi="Calibri" w:eastAsia="Calibri" w:cs="Calibri"/>
          <w:sz w:val="22"/>
          <w:szCs w:val="22"/>
          <w:rtl w:val="0"/>
        </w:rPr>
        <w:t xml:space="preserve">Exploitation of results </w:t>
      </w:r>
      <w:r>
        <w:rPr>
          <w:rFonts w:ascii="Calibri" w:hAnsi="Calibri" w:eastAsia="Calibri" w:cs="Calibri"/>
          <w:sz w:val="22"/>
          <w:szCs w:val="22"/>
        </w:rPr>
      </w:r>
      <w:r>
        <w:rPr>
          <w:rFonts w:ascii="Calibri" w:hAnsi="Calibri" w:eastAsia="Calibri" w:cs="Calibri"/>
          <w:sz w:val="22"/>
          <w:szCs w:val="22"/>
        </w:rPr>
      </w:r>
    </w:p>
    <w:p w14:paraId="0000012F">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acquiring title to the results developed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becomes the holder of all economic copyright relating to such rights. In this regard, yet without the list being exhaustive,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may exploit the results for the following purposes: </w:t>
      </w:r>
      <w:r>
        <w:rPr>
          <w:rFonts w:ascii="Calibri" w:hAnsi="Calibri" w:eastAsia="Calibri" w:cs="Calibri"/>
          <w:sz w:val="22"/>
          <w:szCs w:val="22"/>
        </w:rPr>
      </w:r>
      <w:r>
        <w:rPr>
          <w:rFonts w:ascii="Calibri" w:hAnsi="Calibri" w:eastAsia="Calibri" w:cs="Calibri"/>
          <w:sz w:val="22"/>
          <w:szCs w:val="22"/>
        </w:rPr>
      </w:r>
    </w:p>
    <w:p w14:paraId="00000130">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internal exploitation: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1">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disclosure to its personnel;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2">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communication disclosure to persons and entities working for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cooperating with it, including contractors, subcontractors (whether legal or natural persons), EU institutions, agencies and bodies and member states' institutions;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3">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installing, uploading, processing, arranging, compiling, combining, retrieving, copying, reproducing in whole or in part and in unlimited number of copies.</w: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134">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distribution to the public:</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5">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paper, electronic or digital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6">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 the internet as a downloadable/non-downloadable file;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7">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via display, radio or television broadcasting or any other transmission technique;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8">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otherwise in any form and by any method.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9">
      <w:pPr>
        <w:keepNext w:val="false"/>
        <w:keepLines w:val="false"/>
        <w:pageBreakBefore w:val="false"/>
        <w:widowControl w:val="true"/>
        <w:numPr>
          <w:ilvl w:val="0"/>
          <w:numId w:val="1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A">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 of content, form or technique;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B">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addition of new elements of content and form;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C">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adaptation using new media;</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D">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translation into any language;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E">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digitisation and computer processing.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F">
      <w:pPr>
        <w:pStyle w:val="1259"/>
        <w:pBdr/>
        <w:spacing w:after="60" w:before="120"/>
        <w:ind/>
        <w:jc w:val="both"/>
        <w:rPr>
          <w:rFonts w:ascii="Calibri" w:hAnsi="Calibri" w:eastAsia="Calibri" w:cs="Calibri"/>
          <w:sz w:val="22"/>
          <w:szCs w:val="22"/>
        </w:rPr>
      </w:pPr>
      <w:r/>
      <w:bookmarkStart w:id="43" w:name="_heading=h.i8e84rjvo2ly"/>
      <w:r/>
      <w:bookmarkEnd w:id="43"/>
      <w:r>
        <w:rPr>
          <w:rFonts w:ascii="Calibri" w:hAnsi="Calibri" w:eastAsia="Calibri" w:cs="Calibri"/>
          <w:sz w:val="22"/>
          <w:szCs w:val="22"/>
          <w:rtl w:val="0"/>
        </w:rPr>
        <w:t xml:space="preserve">Licensing of pre-existing rights </w:t>
      </w:r>
      <w:r>
        <w:rPr>
          <w:rFonts w:ascii="Calibri" w:hAnsi="Calibri" w:eastAsia="Calibri" w:cs="Calibri"/>
          <w:sz w:val="22"/>
          <w:szCs w:val="22"/>
        </w:rPr>
      </w:r>
      <w:r>
        <w:rPr>
          <w:rFonts w:ascii="Calibri" w:hAnsi="Calibri" w:eastAsia="Calibri" w:cs="Calibri"/>
          <w:sz w:val="22"/>
          <w:szCs w:val="22"/>
        </w:rPr>
      </w:r>
    </w:p>
    <w:p w14:paraId="00000140">
      <w:pPr>
        <w:pBdr/>
        <w:spacing w:line="240" w:lineRule="auto"/>
        <w:ind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shall not acquire ownership of pre-existing rights.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license the pre-existing rights on a royalty-free, non-exclusive and irrevocable basis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which may use the pre-existing rights as set out in Article 8.3. Such licences shall become effective from the moment the results are delivered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and accepted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On delivery of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as required, provide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with a list of pre-existing rights and third parties' rights, including those of its personnel, of creators and of other right holders. The licensing of pre-existing rights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covers all territories worldwide and is valid for the whole duration of intellectual property rights protection.</w:t>
      </w:r>
      <w:r>
        <w:rPr>
          <w:rFonts w:ascii="Calibri" w:hAnsi="Calibri" w:eastAsia="Calibri" w:cs="Calibri"/>
          <w:sz w:val="22"/>
          <w:szCs w:val="22"/>
        </w:rPr>
      </w:r>
      <w:r>
        <w:rPr>
          <w:rFonts w:ascii="Calibri" w:hAnsi="Calibri" w:eastAsia="Calibri" w:cs="Calibri"/>
          <w:sz w:val="22"/>
          <w:szCs w:val="22"/>
        </w:rPr>
      </w:r>
    </w:p>
    <w:p w14:paraId="00000141">
      <w:pPr>
        <w:pStyle w:val="1259"/>
        <w:pBdr/>
        <w:spacing w:after="60" w:before="120"/>
        <w:ind/>
        <w:jc w:val="both"/>
        <w:rPr>
          <w:rFonts w:ascii="Calibri" w:hAnsi="Calibri" w:eastAsia="Calibri" w:cs="Calibri"/>
          <w:sz w:val="22"/>
          <w:szCs w:val="22"/>
        </w:rPr>
      </w:pPr>
      <w:r/>
      <w:bookmarkStart w:id="44" w:name="_heading=h.vmh19f7rl707"/>
      <w:r/>
      <w:bookmarkEnd w:id="44"/>
      <w:r>
        <w:rPr>
          <w:rFonts w:ascii="Calibri" w:hAnsi="Calibri" w:eastAsia="Calibri" w:cs="Calibri"/>
          <w:sz w:val="22"/>
          <w:szCs w:val="22"/>
          <w:rtl w:val="0"/>
        </w:rPr>
        <w:t xml:space="preserve">Guarantees </w:t>
      </w:r>
      <w:r>
        <w:rPr>
          <w:rFonts w:ascii="Calibri" w:hAnsi="Calibri" w:eastAsia="Calibri" w:cs="Calibri"/>
          <w:sz w:val="22"/>
          <w:szCs w:val="22"/>
        </w:rPr>
      </w:r>
      <w:r>
        <w:rPr>
          <w:rFonts w:ascii="Calibri" w:hAnsi="Calibri" w:eastAsia="Calibri" w:cs="Calibri"/>
          <w:sz w:val="22"/>
          <w:szCs w:val="22"/>
        </w:rPr>
      </w:r>
    </w:p>
    <w:p w14:paraId="00000142">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When delivering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warrant that they are free of rights or claims from creators and third parties, including in relation to pre-existing rights, for any use envisaged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4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On request from </w:t>
      </w:r>
      <w:r>
        <w:rPr>
          <w:rFonts w:ascii="Calibri" w:hAnsi="Calibri" w:eastAsia="Calibri" w:cs="Calibri"/>
          <w:smallCaps/>
          <w:sz w:val="22"/>
          <w:szCs w:val="22"/>
          <w:rtl w:val="0"/>
        </w:rPr>
        <w:t xml:space="preserve">Expertise</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France</w:t>
      </w:r>
      <w:r>
        <w:rPr>
          <w:rFonts w:ascii="Calibri" w:hAnsi="Calibri" w:eastAsia="Calibri" w:cs="Calibri"/>
          <w:sz w:val="22"/>
          <w:szCs w:val="22"/>
          <w:rtl w:val="0"/>
        </w:rPr>
        <w:t xml:space="preserv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provide evidence of ownership or rights to use all the listed pre-existing rights and rights of third parties, except for the rights owned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44">
      <w:pPr>
        <w:pStyle w:val="1259"/>
        <w:pBdr/>
        <w:spacing w:after="60" w:before="120"/>
        <w:ind/>
        <w:jc w:val="both"/>
        <w:rPr>
          <w:rFonts w:ascii="Calibri" w:hAnsi="Calibri" w:eastAsia="Calibri" w:cs="Calibri"/>
          <w:sz w:val="22"/>
          <w:szCs w:val="22"/>
        </w:rPr>
      </w:pPr>
      <w:r/>
      <w:bookmarkStart w:id="45" w:name="_heading=h.c6mvp2wgwg9b"/>
      <w:r/>
      <w:bookmarkEnd w:id="45"/>
      <w:r>
        <w:rPr>
          <w:rFonts w:ascii="Calibri" w:hAnsi="Calibri" w:eastAsia="Calibri" w:cs="Calibri"/>
          <w:sz w:val="22"/>
          <w:szCs w:val="22"/>
          <w:rtl w:val="0"/>
        </w:rPr>
        <w:t xml:space="preserve">Image rights </w:t>
      </w:r>
      <w:r>
        <w:rPr>
          <w:rFonts w:ascii="Calibri" w:hAnsi="Calibri" w:eastAsia="Calibri" w:cs="Calibri"/>
          <w:sz w:val="22"/>
          <w:szCs w:val="22"/>
        </w:rPr>
      </w:r>
      <w:r>
        <w:rPr>
          <w:rFonts w:ascii="Calibri" w:hAnsi="Calibri" w:eastAsia="Calibri" w:cs="Calibri"/>
          <w:sz w:val="22"/>
          <w:szCs w:val="22"/>
        </w:rPr>
      </w:r>
    </w:p>
    <w:p w14:paraId="0000014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If natural, recognisable persons appear in a result or their voice is recorded, on request from </w:t>
      </w:r>
      <w:r>
        <w:rPr>
          <w:rFonts w:ascii="Calibri" w:hAnsi="Calibri" w:eastAsia="Calibri" w:cs="Calibri"/>
          <w:smallCaps/>
          <w:sz w:val="22"/>
          <w:szCs w:val="22"/>
          <w:rtl w:val="0"/>
        </w:rPr>
        <w:t xml:space="preserve">Expertise France </w:t>
      </w: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submit a declaration in which such persons (or of the persons exercising parental autho</w:t>
      </w:r>
      <w:r>
        <w:rPr>
          <w:rFonts w:ascii="Calibri" w:hAnsi="Calibri" w:eastAsia="Calibri" w:cs="Calibri"/>
          <w:sz w:val="22"/>
          <w:szCs w:val="22"/>
          <w:rtl w:val="0"/>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ascii="Calibri" w:hAnsi="Calibri" w:eastAsia="Calibri" w:cs="Calibri"/>
          <w:sz w:val="22"/>
          <w:szCs w:val="22"/>
        </w:rPr>
      </w:r>
      <w:r>
        <w:rPr>
          <w:rFonts w:ascii="Calibri" w:hAnsi="Calibri" w:eastAsia="Calibri" w:cs="Calibri"/>
          <w:sz w:val="22"/>
          <w:szCs w:val="22"/>
        </w:rPr>
      </w:r>
    </w:p>
    <w:p w14:paraId="00000146">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6" w:name="_heading=h.jzwqsi53yah6"/>
      <w:r/>
      <w:bookmarkEnd w:id="46"/>
      <w:r>
        <w:rPr>
          <w:rFonts w:ascii="Calibri" w:hAnsi="Calibri" w:eastAsia="Calibri" w:cs="Calibri"/>
          <w:b/>
          <w:bCs/>
          <w:i w:val="0"/>
          <w:iCs w:val="0"/>
          <w:smallCaps/>
          <w:strike w:val="0"/>
          <w:color w:val="000000"/>
          <w:sz w:val="24"/>
          <w:szCs w:val="24"/>
          <w:u w:val="single"/>
          <w:shd w:val="clear" w:color="auto" w:fill="auto"/>
          <w:vertAlign w:val="baseline"/>
          <w:rtl w:val="0"/>
        </w:rPr>
        <w:t xml:space="preserve">TERMINATION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7">
      <w:pPr>
        <w:pStyle w:val="1259"/>
        <w:pBdr/>
        <w:spacing w:after="60" w:before="120"/>
        <w:ind/>
        <w:jc w:val="both"/>
        <w:rPr>
          <w:rFonts w:ascii="Calibri" w:hAnsi="Calibri" w:eastAsia="Calibri" w:cs="Calibri"/>
          <w:sz w:val="22"/>
          <w:szCs w:val="22"/>
        </w:rPr>
      </w:pPr>
      <w:r/>
      <w:bookmarkStart w:id="47" w:name="_heading=h.fttf3k5odqdk"/>
      <w:r/>
      <w:bookmarkEnd w:id="47"/>
      <w:r>
        <w:rPr>
          <w:rFonts w:ascii="Calibri" w:hAnsi="Calibri" w:eastAsia="Calibri" w:cs="Calibri"/>
          <w:sz w:val="22"/>
          <w:szCs w:val="22"/>
          <w:rtl w:val="0"/>
        </w:rPr>
        <w:t xml:space="preserve">General terms of performance</w:t>
      </w:r>
      <w:r>
        <w:rPr>
          <w:rFonts w:ascii="Calibri" w:hAnsi="Calibri" w:eastAsia="Calibri" w:cs="Calibri"/>
          <w:sz w:val="22"/>
          <w:szCs w:val="22"/>
        </w:rPr>
      </w:r>
      <w:r>
        <w:rPr>
          <w:rFonts w:ascii="Calibri" w:hAnsi="Calibri" w:eastAsia="Calibri" w:cs="Calibri"/>
          <w:sz w:val="22"/>
          <w:szCs w:val="22"/>
        </w:rPr>
      </w:r>
    </w:p>
    <w:p w14:paraId="00000148">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is subject to the termination clauses as defined in Articles 29 to 36 of the CCAG.</w:t>
      </w:r>
      <w:r>
        <w:rPr>
          <w:rFonts w:ascii="Calibri" w:hAnsi="Calibri" w:eastAsia="Calibri" w:cs="Calibri"/>
          <w:sz w:val="22"/>
          <w:szCs w:val="22"/>
        </w:rPr>
      </w:r>
      <w:r>
        <w:rPr>
          <w:rFonts w:ascii="Calibri" w:hAnsi="Calibri" w:eastAsia="Calibri" w:cs="Calibri"/>
          <w:sz w:val="22"/>
          <w:szCs w:val="22"/>
        </w:rPr>
      </w:r>
    </w:p>
    <w:p w14:paraId="00000149">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way of derog</w:t>
      </w:r>
      <w:r>
        <w:rPr>
          <w:rFonts w:ascii="Calibri" w:hAnsi="Calibri" w:eastAsia="Calibri" w:cs="Calibri"/>
          <w:sz w:val="22"/>
          <w:szCs w:val="22"/>
          <w:highlight w:val="white"/>
          <w:rtl w:val="0"/>
        </w:rPr>
        <w:t xml:space="preserve">ation from 42 of the CCAG FCS, terminatio</w:t>
      </w:r>
      <w:r>
        <w:rPr>
          <w:rFonts w:ascii="Calibri" w:hAnsi="Calibri" w:eastAsia="Calibri" w:cs="Calibri"/>
          <w:sz w:val="22"/>
          <w:szCs w:val="22"/>
          <w:rtl w:val="0"/>
        </w:rPr>
        <w:t xml:space="preserve">n for reasons of general interest is not applicable to this contract. However, the parties agree on the possibility of terminating the contract by mutual consent.</w:t>
      </w:r>
      <w:r>
        <w:rPr>
          <w:rFonts w:ascii="Calibri" w:hAnsi="Calibri" w:eastAsia="Calibri" w:cs="Calibri"/>
          <w:sz w:val="22"/>
          <w:szCs w:val="22"/>
        </w:rPr>
      </w:r>
      <w:r>
        <w:rPr>
          <w:rFonts w:ascii="Calibri" w:hAnsi="Calibri" w:eastAsia="Calibri" w:cs="Calibri"/>
          <w:sz w:val="22"/>
          <w:szCs w:val="22"/>
        </w:rPr>
      </w:r>
    </w:p>
    <w:p w14:paraId="0000014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event of early termination,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immediately return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all documents it may have received for the purposes of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4B">
      <w:pPr>
        <w:pBdr/>
        <w:spacing w:line="240" w:lineRule="auto"/>
        <w:ind w:firstLine="0" w:left="0"/>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4C">
      <w:pPr>
        <w:pStyle w:val="1259"/>
        <w:pBdr/>
        <w:spacing w:after="60" w:before="120"/>
        <w:ind/>
        <w:jc w:val="both"/>
        <w:rPr>
          <w:rFonts w:ascii="Calibri" w:hAnsi="Calibri" w:eastAsia="Calibri" w:cs="Calibri"/>
          <w:sz w:val="22"/>
          <w:szCs w:val="22"/>
        </w:rPr>
      </w:pPr>
      <w:r/>
      <w:bookmarkStart w:id="48" w:name="_heading=h.ur0gpso40wmj"/>
      <w:r/>
      <w:bookmarkEnd w:id="48"/>
      <w:r>
        <w:rPr>
          <w:rFonts w:ascii="Calibri" w:hAnsi="Calibri" w:eastAsia="Calibri" w:cs="Calibri"/>
          <w:sz w:val="22"/>
          <w:szCs w:val="22"/>
          <w:rtl w:val="0"/>
        </w:rPr>
        <w:t xml:space="preserve">Procedure</w:t>
      </w:r>
      <w:r>
        <w:rPr>
          <w:rFonts w:ascii="Calibri" w:hAnsi="Calibri" w:eastAsia="Calibri" w:cs="Calibri"/>
          <w:sz w:val="22"/>
          <w:szCs w:val="22"/>
        </w:rPr>
      </w:r>
      <w:r>
        <w:rPr>
          <w:rFonts w:ascii="Calibri" w:hAnsi="Calibri" w:eastAsia="Calibri" w:cs="Calibri"/>
          <w:sz w:val="22"/>
          <w:szCs w:val="22"/>
        </w:rPr>
      </w:r>
    </w:p>
    <w:p w14:paraId="0000014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termination decision shall be notified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by registered letter with acknowledgement of receipt. It shall state the effective date of termination. </w:t>
      </w:r>
      <w:r>
        <w:rPr>
          <w:rFonts w:ascii="Calibri" w:hAnsi="Calibri" w:eastAsia="Calibri" w:cs="Calibri"/>
          <w:sz w:val="22"/>
          <w:szCs w:val="22"/>
        </w:rPr>
      </w:r>
      <w:r>
        <w:rPr>
          <w:rFonts w:ascii="Calibri" w:hAnsi="Calibri" w:eastAsia="Calibri" w:cs="Calibri"/>
          <w:sz w:val="22"/>
          <w:szCs w:val="22"/>
        </w:rPr>
      </w:r>
    </w:p>
    <w:p w14:paraId="0000014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9" w:name="_heading=h.dx60hrvrz2o4"/>
      <w:r/>
      <w:bookmarkEnd w:id="49"/>
      <w:r>
        <w:rPr>
          <w:rFonts w:ascii="Calibri" w:hAnsi="Calibri" w:eastAsia="Calibri" w:cs="Calibri"/>
          <w:b/>
          <w:bCs/>
          <w:i w:val="0"/>
          <w:iCs w:val="0"/>
          <w:smallCaps/>
          <w:strike w:val="0"/>
          <w:color w:val="000000"/>
          <w:sz w:val="24"/>
          <w:szCs w:val="24"/>
          <w:u w:val="single"/>
          <w:shd w:val="clear" w:color="auto" w:fill="auto"/>
          <w:vertAlign w:val="baseline"/>
          <w:rtl w:val="0"/>
        </w:rPr>
        <w:t xml:space="preserve">SAFETY AND SECURITY MEASURES AND RESPONSABILITIES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F">
      <w:pPr>
        <w:pBdr/>
        <w:spacing w:before="120" w:line="240" w:lineRule="auto"/>
        <w:ind w:firstLine="0" w:left="561"/>
        <w:jc w:val="both"/>
        <w:rPr>
          <w:rFonts w:ascii="Calibri" w:hAnsi="Calibri" w:eastAsia="Calibri" w:cs="Calibri"/>
          <w:sz w:val="22"/>
          <w:szCs w:val="22"/>
        </w:rPr>
      </w:pPr>
      <w:r/>
      <w:bookmarkStart w:id="50" w:name="_heading=h.jnygziwsclfp"/>
      <w:r/>
      <w:bookmarkEnd w:id="50"/>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is the only one who is responsible for the safety of the people and property that he mobilizes for the execution of the present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 this respect, takes all necessary measures. He undertakes to ensure that all of his employees and subcontractors comply with the safety instructions that he issues.</w:t>
      </w:r>
      <w:r>
        <w:rPr>
          <w:rFonts w:ascii="Calibri" w:hAnsi="Calibri" w:eastAsia="Calibri" w:cs="Calibri"/>
          <w:sz w:val="22"/>
          <w:szCs w:val="22"/>
        </w:rPr>
      </w:r>
      <w:r>
        <w:rPr>
          <w:rFonts w:ascii="Calibri" w:hAnsi="Calibri" w:eastAsia="Calibri" w:cs="Calibri"/>
          <w:sz w:val="22"/>
          <w:szCs w:val="22"/>
        </w:rPr>
      </w:r>
    </w:p>
    <w:p w14:paraId="00000150">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In the event of an incident and/or direct or indirect attack on the safety of people directly or indirectly mobilised by the contractor or its equipment,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cannot be held responsible in any way whatsoever.</w:t>
      </w:r>
      <w:r>
        <w:rPr>
          <w:rFonts w:ascii="Calibri" w:hAnsi="Calibri" w:eastAsia="Calibri" w:cs="Calibri"/>
          <w:sz w:val="22"/>
          <w:szCs w:val="22"/>
        </w:rPr>
      </w:r>
      <w:r>
        <w:rPr>
          <w:rFonts w:ascii="Calibri" w:hAnsi="Calibri" w:eastAsia="Calibri" w:cs="Calibri"/>
          <w:sz w:val="22"/>
          <w:szCs w:val="22"/>
        </w:rPr>
      </w:r>
    </w:p>
    <w:p w14:paraId="00000151">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1" w:name="_heading=h.nve0n64yd3cb"/>
      <w:r/>
      <w:bookmarkEnd w:id="51"/>
      <w:r>
        <w:rPr>
          <w:rFonts w:ascii="Calibri" w:hAnsi="Calibri" w:eastAsia="Calibri" w:cs="Calibri"/>
          <w:b/>
          <w:bCs/>
          <w:i w:val="0"/>
          <w:iCs w:val="0"/>
          <w:smallCaps/>
          <w:strike w:val="0"/>
          <w:color w:val="000000"/>
          <w:sz w:val="24"/>
          <w:szCs w:val="24"/>
          <w:u w:val="single"/>
          <w:shd w:val="clear" w:color="auto" w:fill="auto"/>
          <w:vertAlign w:val="baseline"/>
          <w:rtl w:val="0"/>
        </w:rPr>
        <w:t xml:space="preserve">ETHICS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2">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also undertakes to take note of the </w:t>
      </w:r>
      <w:hyperlink r:id="rId24"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 E</w:t>
        </w:r>
      </w:hyperlink>
      <w:r/>
      <w:hyperlink r:id="rId25"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xpertise </w:t>
        </w:r>
      </w:hyperlink>
      <w:r/>
      <w:hyperlink r:id="rId26"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F</w:t>
        </w:r>
      </w:hyperlink>
      <w:r/>
      <w:hyperlink r:id="rId27"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rance Code of Conduct</w:t>
        </w:r>
      </w:hyperlink>
      <w:r>
        <w:rPr>
          <w:rFonts w:ascii="Calibri" w:hAnsi="Calibri" w:eastAsia="Calibri" w:cs="Calibri"/>
          <w:sz w:val="22"/>
          <w:szCs w:val="22"/>
          <w:rtl w:val="0"/>
        </w:rPr>
        <w:t xml:space="preserve"> and to comply strictly with it (the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code of conduct is available on the agency’s website: </w:t>
      </w:r>
      <w:hyperlink r:id="rId28" w:tooltip="http://www.expertisefrance.fr" w:history="1">
        <w:r>
          <w:rPr>
            <w:rFonts w:ascii="Calibri" w:hAnsi="Calibri" w:eastAsia="Calibri" w:cs="Calibri"/>
            <w:color w:val="0000ff"/>
            <w:sz w:val="22"/>
            <w:szCs w:val="22"/>
            <w:u w:val="single"/>
            <w:rtl w:val="0"/>
          </w:rPr>
          <w:t xml:space="preserve">www.expertisefrance.fr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3">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breach to comply with the code of conduct may result in the termination of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incur the liability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15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2" w:name="_heading=h.29ntz8dzfzls"/>
      <w:r/>
      <w:bookmarkEnd w:id="52"/>
      <w:r>
        <w:rPr>
          <w:rFonts w:ascii="Calibri" w:hAnsi="Calibri" w:eastAsia="Calibri" w:cs="Calibri"/>
          <w:b/>
          <w:bCs/>
          <w:i w:val="0"/>
          <w:iCs w:val="0"/>
          <w:smallCaps/>
          <w:strike w:val="0"/>
          <w:color w:val="000000"/>
          <w:sz w:val="24"/>
          <w:szCs w:val="24"/>
          <w:u w:val="single"/>
          <w:shd w:val="clear" w:color="auto" w:fill="auto"/>
          <w:vertAlign w:val="baseline"/>
          <w:rtl w:val="0"/>
        </w:rPr>
        <w:t xml:space="preserve">ADMINISTRATION OF PERSONAL DATA</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5">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notified that personal data (notably name, first name and e-mail address) collected under this contract may be processed.</w:t>
      </w:r>
      <w:r>
        <w:rPr>
          <w:rFonts w:ascii="Calibri" w:hAnsi="Calibri" w:eastAsia="Calibri" w:cs="Calibri"/>
          <w:sz w:val="22"/>
          <w:szCs w:val="22"/>
        </w:rPr>
      </w:r>
      <w:r>
        <w:rPr>
          <w:rFonts w:ascii="Calibri" w:hAnsi="Calibri" w:eastAsia="Calibri" w:cs="Calibri"/>
          <w:sz w:val="22"/>
          <w:szCs w:val="22"/>
        </w:rPr>
      </w:r>
    </w:p>
    <w:p w14:paraId="00000156">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legal basis under which such processing is performed are set out in c) and e) of Article 6.1 of the GDPR, namely:</w:t>
      </w:r>
      <w:r>
        <w:rPr>
          <w:rFonts w:ascii="Calibri" w:hAnsi="Calibri" w:eastAsia="Calibri" w:cs="Calibri"/>
          <w:sz w:val="22"/>
          <w:szCs w:val="22"/>
        </w:rPr>
      </w:r>
      <w:r>
        <w:rPr>
          <w:rFonts w:ascii="Calibri" w:hAnsi="Calibri" w:eastAsia="Calibri" w:cs="Calibri"/>
          <w:sz w:val="22"/>
          <w:szCs w:val="22"/>
        </w:rPr>
      </w:r>
    </w:p>
    <w:p w14:paraId="00000157">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in order to comply with a legal obligation by which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is bound;</w:t>
      </w:r>
      <w:r>
        <w:rPr>
          <w:rFonts w:ascii="Calibri" w:hAnsi="Calibri" w:eastAsia="Calibri" w:cs="Calibri"/>
          <w:sz w:val="22"/>
          <w:szCs w:val="22"/>
        </w:rPr>
      </w:r>
      <w:r>
        <w:rPr>
          <w:rFonts w:ascii="Calibri" w:hAnsi="Calibri" w:eastAsia="Calibri" w:cs="Calibri"/>
          <w:sz w:val="22"/>
          <w:szCs w:val="22"/>
        </w:rPr>
      </w:r>
    </w:p>
    <w:p w14:paraId="00000158">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for performance of a public-interest assignment or which falls within the scope of the public authority entrusted to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9">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purposes of the processing are as follows: </w:t>
      </w:r>
      <w:r>
        <w:rPr>
          <w:rFonts w:ascii="Calibri" w:hAnsi="Calibri" w:eastAsia="Calibri" w:cs="Calibri"/>
          <w:sz w:val="22"/>
          <w:szCs w:val="22"/>
        </w:rPr>
      </w:r>
      <w:r>
        <w:rPr>
          <w:rFonts w:ascii="Calibri" w:hAnsi="Calibri" w:eastAsia="Calibri" w:cs="Calibri"/>
          <w:sz w:val="22"/>
          <w:szCs w:val="22"/>
        </w:rPr>
      </w:r>
    </w:p>
    <w:p w14:paraId="0000015A">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this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5B">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reports forwarded to donors and other supervisory authorities. </w:t>
      </w:r>
      <w:r>
        <w:rPr>
          <w:rFonts w:ascii="Calibri" w:hAnsi="Calibri" w:eastAsia="Calibri" w:cs="Calibri"/>
          <w:sz w:val="22"/>
          <w:szCs w:val="22"/>
        </w:rPr>
      </w:r>
      <w:r>
        <w:rPr>
          <w:rFonts w:ascii="Calibri" w:hAnsi="Calibri" w:eastAsia="Calibri" w:cs="Calibri"/>
          <w:sz w:val="22"/>
          <w:szCs w:val="22"/>
        </w:rPr>
      </w:r>
    </w:p>
    <w:p w14:paraId="0000015C">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Recipients or category of recipients of the personal data are exclusively authorised personnel of </w:t>
      </w:r>
      <w:r>
        <w:rPr>
          <w:rFonts w:ascii="Calibri" w:hAnsi="Calibri" w:eastAsia="Calibri" w:cs="Calibri"/>
          <w:smallCaps/>
          <w:rtl w:val="0"/>
        </w:rPr>
        <w:t xml:space="preserve">Expertise France</w:t>
      </w:r>
      <w:r>
        <w:rPr>
          <w:rFonts w:ascii="Calibri" w:hAnsi="Calibri" w:eastAsia="Calibri" w:cs="Calibri"/>
          <w:sz w:val="22"/>
          <w:szCs w:val="22"/>
          <w:rtl w:val="0"/>
        </w:rPr>
        <w:t xml:space="preserve">, ministries and state operators and donors responsible for awarding and executing this contract, including any service providers assisting them with their activities.</w:t>
      </w:r>
      <w:r>
        <w:rPr>
          <w:rFonts w:ascii="Calibri" w:hAnsi="Calibri" w:eastAsia="Calibri" w:cs="Calibri"/>
          <w:sz w:val="22"/>
          <w:szCs w:val="22"/>
        </w:rPr>
      </w:r>
      <w:r>
        <w:rPr>
          <w:rFonts w:ascii="Calibri" w:hAnsi="Calibri" w:eastAsia="Calibri" w:cs="Calibri"/>
          <w:sz w:val="22"/>
          <w:szCs w:val="22"/>
        </w:rPr>
      </w:r>
    </w:p>
    <w:p w14:paraId="0000015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Retention period: the data will be held throughout the execution of the contract, including the DUA (duration of administrative usefulness) applicable to the contract.</w:t>
      </w:r>
      <w:r>
        <w:rPr>
          <w:rFonts w:ascii="Calibri" w:hAnsi="Calibri" w:eastAsia="Calibri" w:cs="Calibri"/>
          <w:sz w:val="22"/>
          <w:szCs w:val="22"/>
        </w:rPr>
      </w:r>
      <w:r>
        <w:rPr>
          <w:rFonts w:ascii="Calibri" w:hAnsi="Calibri" w:eastAsia="Calibri" w:cs="Calibri"/>
          <w:sz w:val="22"/>
          <w:szCs w:val="22"/>
        </w:rPr>
      </w:r>
    </w:p>
    <w:p w14:paraId="0000015E">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Articles 15 to 21 of the GDPR, persons whose personal data is collected enjoy a right of </w:t>
      </w:r>
      <w:r>
        <w:rPr>
          <w:rFonts w:ascii="Calibri" w:hAnsi="Calibri" w:eastAsia="Calibri" w:cs="Calibri"/>
          <w:sz w:val="22"/>
          <w:szCs w:val="22"/>
          <w:rtl w:val="0"/>
        </w:rPr>
        <w:t xml:space="preserve">access, rectification and deletion with regard to such data. They also enjoy the right to restrict and refuse processing on legitimate grounds. The information and other rights of data subjects may be exercised by contacting the Data Protection Officer of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t>
      </w:r>
      <w:hyperlink r:id="rId29" w:tooltip="mailto:informatique.libertes@expertisefrance.fr" w:history="1">
        <w:r>
          <w:rPr>
            <w:rFonts w:ascii="Calibri" w:hAnsi="Calibri" w:eastAsia="Calibri" w:cs="Calibri"/>
            <w:sz w:val="22"/>
            <w:szCs w:val="22"/>
            <w:rtl w:val="0"/>
          </w:rPr>
          <w:t xml:space="preserve">informatique.libertes@expertisefrance.fr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F">
      <w:pPr>
        <w:widowControl w:val="false"/>
        <w:pBdr/>
        <w:tabs>
          <w:tab w:val="left" w:leader="none" w:pos="567"/>
        </w:tabs>
        <w:spacing w:before="120" w:line="240" w:lineRule="auto"/>
        <w:ind w:firstLine="0" w:left="567"/>
        <w:jc w:val="both"/>
        <w:rPr>
          <w:rFonts w:ascii="Calibri" w:hAnsi="Calibri" w:eastAsia="Calibri" w:cs="Calibri"/>
          <w:sz w:val="22"/>
          <w:szCs w:val="22"/>
        </w:rPr>
      </w:pPr>
      <w:r/>
      <w:bookmarkStart w:id="53" w:name="_heading=h.dka6xgmfv66l"/>
      <w:r/>
      <w:bookmarkEnd w:id="53"/>
      <w:r>
        <w:rPr>
          <w:rFonts w:ascii="Calibri" w:hAnsi="Calibri" w:eastAsia="Calibri" w:cs="Calibri"/>
          <w:sz w:val="22"/>
          <w:szCs w:val="22"/>
          <w:rtl w:val="0"/>
        </w:rPr>
        <w:t xml:space="preserve">Persons whose personal data is collected under this procedure may submit a complaint to CNIL.)</w:t>
      </w:r>
      <w:r>
        <w:rPr>
          <w:rFonts w:ascii="Calibri" w:hAnsi="Calibri" w:eastAsia="Calibri" w:cs="Calibri"/>
          <w:sz w:val="22"/>
          <w:szCs w:val="22"/>
        </w:rPr>
      </w:r>
      <w:r>
        <w:rPr>
          <w:rFonts w:ascii="Calibri" w:hAnsi="Calibri" w:eastAsia="Calibri" w:cs="Calibri"/>
          <w:sz w:val="22"/>
          <w:szCs w:val="22"/>
        </w:rPr>
      </w:r>
    </w:p>
    <w:p w14:paraId="00000160">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4" w:name="_heading=h.ppe7brxl4sas"/>
      <w:r/>
      <w:bookmarkEnd w:id="54"/>
      <w:r>
        <w:rPr>
          <w:rFonts w:ascii="Calibri" w:hAnsi="Calibri" w:eastAsia="Calibri" w:cs="Calibri"/>
          <w:b/>
          <w:bCs/>
          <w:i w:val="0"/>
          <w:iCs w:val="0"/>
          <w:smallCaps/>
          <w:strike w:val="0"/>
          <w:color w:val="000000"/>
          <w:sz w:val="24"/>
          <w:szCs w:val="24"/>
          <w:u w:val="single"/>
          <w:shd w:val="clear" w:color="auto" w:fill="auto"/>
          <w:vertAlign w:val="baseline"/>
          <w:rtl w:val="0"/>
        </w:rPr>
        <w:t xml:space="preserve">DISPUTE RESOLUTION - APPLICABLE LAW</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dispute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relating to the existence, validity, interpretation, execution, and termination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of its clauses)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resolve amicably within 30 days of the notification of the dispute by the requesting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submitted to the competent court.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72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applicable law for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French law, to the exclusion of any other law.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5" w:name="_heading=h.oy15a9ejd16t"/>
      <w:r/>
      <w:bookmarkEnd w:id="55"/>
      <w:r>
        <w:rPr>
          <w:rFonts w:ascii="Calibri" w:hAnsi="Calibri" w:eastAsia="Calibri" w:cs="Calibri"/>
          <w:b/>
          <w:bCs/>
          <w:i w:val="0"/>
          <w:iCs w:val="0"/>
          <w:smallCaps/>
          <w:strike w:val="0"/>
          <w:color w:val="000000"/>
          <w:sz w:val="24"/>
          <w:szCs w:val="24"/>
          <w:u w:val="single"/>
          <w:shd w:val="clear" w:color="auto" w:fill="auto"/>
          <w:vertAlign w:val="baseline"/>
          <w:rtl w:val="0"/>
        </w:rPr>
        <w:t xml:space="preserve">DEROGATION FROM THE CCAG</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following articles of this document derogate from the CCAG-FCS: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6">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5 derogates from article 28 and 15 of the CCAG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7">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9 derogates from article 14 of the CCAG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8">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6" w:name="_heading=h.xqhi566od5d"/>
      <w:r/>
      <w:bookmarkEnd w:id="56"/>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bCs/>
          <w:i w:val="0"/>
          <w:iCs w:val="0"/>
          <w:smallCaps/>
          <w:strike w:val="0"/>
          <w:color w:val="000000"/>
          <w:sz w:val="24"/>
          <w:szCs w:val="24"/>
          <w:u w:val="single"/>
          <w:shd w:val="clear" w:color="auto" w:fill="auto"/>
          <w:vertAlign w:val="baseline"/>
          <w:rtl w:val="0"/>
        </w:rPr>
        <w:t xml:space="preserve">AUDIT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9">
      <w:pPr>
        <w:pBdr/>
        <w:spacing w:line="240" w:lineRule="auto"/>
        <w:ind w:right="139" w:firstLine="0" w:left="567"/>
        <w:jc w:val="both"/>
        <w:rPr>
          <w:rFonts w:ascii="Calibri" w:hAnsi="Calibri" w:eastAsia="Calibri" w:cs="Calibri"/>
          <w:sz w:val="22"/>
          <w:szCs w:val="22"/>
        </w:rPr>
      </w:pPr>
      <w:r/>
      <w:bookmarkStart w:id="57" w:name="_heading=h.cimppe1k7ygu"/>
      <w:r/>
      <w:bookmarkEnd w:id="57"/>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may be submitted to an audit concerning compliance with the regulations and contractual obligations applicable to the performance of the present C</w:t>
      </w:r>
      <w:r>
        <w:rPr>
          <w:rFonts w:ascii="Calibri" w:hAnsi="Calibri" w:eastAsia="Calibri" w:cs="Calibri"/>
          <w:smallCaps/>
          <w:sz w:val="22"/>
          <w:szCs w:val="22"/>
          <w:rtl w:val="0"/>
        </w:rPr>
        <w:t xml:space="preserve">ontract</w:t>
      </w:r>
      <w:r>
        <w:rPr>
          <w:rFonts w:ascii="Calibri" w:hAnsi="Calibri" w:eastAsia="Calibri" w:cs="Calibri"/>
          <w:sz w:val="22"/>
          <w:szCs w:val="22"/>
          <w:rtl w:val="0"/>
        </w:rPr>
        <w:t xml:space="preserve">. This audit may be carried out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by a third party appointed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and may not be refused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If the audit is carried out by a third party, the appointed third party must not be a direct competitor of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Scheduled audits may be carried out periodically or spontaneously at the request of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 third party. In all cases,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will be informed at least 5 working days in advance.</w:t>
      </w:r>
      <w:r>
        <w:rPr>
          <w:rFonts w:ascii="Calibri" w:hAnsi="Calibri" w:eastAsia="Calibri" w:cs="Calibri"/>
          <w:sz w:val="22"/>
          <w:szCs w:val="22"/>
        </w:rPr>
      </w:r>
      <w:r>
        <w:rPr>
          <w:rFonts w:ascii="Calibri" w:hAnsi="Calibri" w:eastAsia="Calibri" w:cs="Calibri"/>
          <w:sz w:val="22"/>
          <w:szCs w:val="22"/>
        </w:rPr>
      </w:r>
    </w:p>
    <w:p w14:paraId="0000016A">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w:t>
      </w:r>
      <w:r>
        <w:rPr>
          <w:rFonts w:ascii="Calibri" w:hAnsi="Calibri" w:eastAsia="Calibri" w:cs="Calibri"/>
          <w:smallCaps/>
          <w:sz w:val="22"/>
          <w:szCs w:val="22"/>
          <w:rtl w:val="0"/>
        </w:rPr>
        <w:t xml:space="preserve">ontractor </w:t>
      </w:r>
      <w:r>
        <w:rPr>
          <w:rFonts w:ascii="Calibri" w:hAnsi="Calibri" w:eastAsia="Calibri" w:cs="Calibri"/>
          <w:sz w:val="22"/>
          <w:szCs w:val="22"/>
          <w:rtl w:val="0"/>
        </w:rPr>
        <w:t xml:space="preserve">therefore undertakes to:</w:t>
      </w:r>
      <w:r>
        <w:rPr>
          <w:rFonts w:ascii="Calibri" w:hAnsi="Calibri" w:eastAsia="Calibri" w:cs="Calibri"/>
          <w:sz w:val="22"/>
          <w:szCs w:val="22"/>
        </w:rPr>
      </w:r>
      <w:r>
        <w:rPr>
          <w:rFonts w:ascii="Calibri" w:hAnsi="Calibri" w:eastAsia="Calibri" w:cs="Calibri"/>
          <w:sz w:val="22"/>
          <w:szCs w:val="22"/>
        </w:rPr>
      </w:r>
    </w:p>
    <w:p w14:paraId="0000016B">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the appointed entity, and facilitate their access to the information required to carry out the audits, including interviews with the people involved and on-site visits;</w:t>
      </w:r>
      <w:r>
        <w:rPr>
          <w:rFonts w:ascii="Calibri" w:hAnsi="Calibri" w:eastAsia="Calibri" w:cs="Calibri"/>
          <w:sz w:val="22"/>
          <w:szCs w:val="22"/>
        </w:rPr>
      </w:r>
      <w:r>
        <w:rPr>
          <w:rFonts w:ascii="Calibri" w:hAnsi="Calibri" w:eastAsia="Calibri" w:cs="Calibri"/>
          <w:sz w:val="22"/>
          <w:szCs w:val="22"/>
        </w:rPr>
      </w:r>
    </w:p>
    <w:p w14:paraId="0000016C">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Submit documents relating to the performance of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as well as any documents required by the auditors;</w:t>
      </w:r>
      <w:r>
        <w:rPr>
          <w:rFonts w:ascii="Calibri" w:hAnsi="Calibri" w:eastAsia="Calibri" w:cs="Calibri"/>
          <w:sz w:val="22"/>
          <w:szCs w:val="22"/>
        </w:rPr>
      </w:r>
      <w:r>
        <w:rPr>
          <w:rFonts w:ascii="Calibri" w:hAnsi="Calibri" w:eastAsia="Calibri" w:cs="Calibri"/>
          <w:sz w:val="22"/>
          <w:szCs w:val="22"/>
        </w:rPr>
      </w:r>
    </w:p>
    <w:p w14:paraId="0000016D">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Demonstrate transparency and respond to auditors’ requests;</w:t>
      </w:r>
      <w:r>
        <w:rPr>
          <w:rFonts w:ascii="Calibri" w:hAnsi="Calibri" w:eastAsia="Calibri" w:cs="Calibri"/>
          <w:sz w:val="22"/>
          <w:szCs w:val="22"/>
        </w:rPr>
      </w:r>
      <w:r>
        <w:rPr>
          <w:rFonts w:ascii="Calibri" w:hAnsi="Calibri" w:eastAsia="Calibri" w:cs="Calibri"/>
          <w:sz w:val="22"/>
          <w:szCs w:val="22"/>
        </w:rPr>
      </w:r>
    </w:p>
    <w:p w14:paraId="0000016E">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Implement any corrective measures that may be necessary.</w:t>
      </w:r>
      <w:r>
        <w:rPr>
          <w:rFonts w:ascii="Calibri" w:hAnsi="Calibri" w:eastAsia="Calibri" w:cs="Calibri"/>
          <w:sz w:val="22"/>
          <w:szCs w:val="22"/>
        </w:rPr>
      </w:r>
      <w:r>
        <w:rPr>
          <w:rFonts w:ascii="Calibri" w:hAnsi="Calibri" w:eastAsia="Calibri" w:cs="Calibri"/>
          <w:sz w:val="22"/>
          <w:szCs w:val="22"/>
        </w:rPr>
      </w:r>
    </w:p>
    <w:p w14:paraId="0000016F">
      <w:pPr>
        <w:pBdr/>
        <w:spacing w:line="240" w:lineRule="auto"/>
        <w:ind w:right="139"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will notify 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of the identity of the audit structure selected in the case of an external firm, the purpose of the assignment, the planned duration of the assignment and the names of the experts assigned. </w:t>
      </w:r>
      <w:r>
        <w:rPr>
          <w:rFonts w:ascii="Calibri" w:hAnsi="Calibri" w:eastAsia="Calibri" w:cs="Calibri"/>
          <w:sz w:val="22"/>
          <w:szCs w:val="22"/>
        </w:rPr>
      </w:r>
      <w:r>
        <w:rPr>
          <w:rFonts w:ascii="Calibri" w:hAnsi="Calibri" w:eastAsia="Calibri" w:cs="Calibri"/>
          <w:sz w:val="22"/>
          <w:szCs w:val="22"/>
        </w:rPr>
      </w:r>
    </w:p>
    <w:p w14:paraId="00000170">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also undertakes to 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any other third party mandated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carry out an investigation in the case of an allegation of a prohibited practice</w:t>
      </w:r>
      <w:r>
        <w:rPr>
          <w:rFonts w:ascii="Calibri" w:hAnsi="Calibri" w:eastAsia="Calibri" w:cs="Calibri"/>
          <w:sz w:val="22"/>
          <w:szCs w:val="22"/>
          <w:vertAlign w:val="superscript"/>
        </w:rPr>
        <w:footnoteReference w:id="3"/>
      </w:r>
      <w:r>
        <w:rPr>
          <w:rFonts w:ascii="Calibri" w:hAnsi="Calibri" w:eastAsia="Calibri" w:cs="Calibri"/>
          <w:sz w:val="22"/>
          <w:szCs w:val="22"/>
          <w:rtl w:val="0"/>
        </w:rPr>
        <w:t xml:space="preserve"> relating to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under the conditions set out above.</w:t>
      </w:r>
      <w:r>
        <w:rPr>
          <w:rFonts w:ascii="Calibri" w:hAnsi="Calibri" w:eastAsia="Calibri" w:cs="Calibri"/>
          <w:sz w:val="22"/>
          <w:szCs w:val="22"/>
        </w:rPr>
      </w:r>
      <w:r>
        <w:rPr>
          <w:rFonts w:ascii="Calibri" w:hAnsi="Calibri" w:eastAsia="Calibri" w:cs="Calibri"/>
          <w:sz w:val="22"/>
          <w:szCs w:val="22"/>
        </w:rPr>
      </w:r>
    </w:p>
    <w:p w14:paraId="00000171">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of the audit report will be sent to each of the </w:t>
      </w:r>
      <w:r>
        <w:rPr>
          <w:rFonts w:ascii="Calibri" w:hAnsi="Calibri" w:eastAsia="Calibri" w:cs="Calibri"/>
          <w:smallCaps/>
          <w:sz w:val="22"/>
          <w:szCs w:val="22"/>
          <w:rtl w:val="0"/>
        </w:rPr>
        <w:t xml:space="preserve">Parties</w:t>
      </w:r>
      <w:r>
        <w:rPr>
          <w:rFonts w:ascii="Calibri" w:hAnsi="Calibri" w:eastAsia="Calibri" w:cs="Calibri"/>
          <w:sz w:val="22"/>
          <w:szCs w:val="22"/>
          <w:rtl w:val="0"/>
        </w:rPr>
        <w:t xml:space="preserve"> by any means deemed appropriate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72">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may prescribe the implementation of actions and a deadline for completion.</w:t>
      </w:r>
      <w:r>
        <w:rPr>
          <w:rFonts w:ascii="Calibri" w:hAnsi="Calibri" w:eastAsia="Calibri" w:cs="Calibri"/>
          <w:sz w:val="22"/>
          <w:szCs w:val="22"/>
        </w:rPr>
      </w:r>
      <w:r>
        <w:rPr>
          <w:rFonts w:ascii="Calibri" w:hAnsi="Calibri" w:eastAsia="Calibri" w:cs="Calibri"/>
          <w:sz w:val="22"/>
          <w:szCs w:val="22"/>
        </w:rPr>
      </w:r>
    </w:p>
    <w:p w14:paraId="0000017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refusal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to comply with the audit exercises and/or their conclusions gives as of right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the possibility to terminate the present contract without compensation.</w:t>
      </w:r>
      <w:r>
        <w:rPr>
          <w:rFonts w:ascii="Calibri" w:hAnsi="Calibri" w:eastAsia="Calibri" w:cs="Calibri"/>
          <w:sz w:val="22"/>
          <w:szCs w:val="22"/>
        </w:rPr>
      </w:r>
      <w:r>
        <w:rPr>
          <w:rFonts w:ascii="Calibri" w:hAnsi="Calibri" w:eastAsia="Calibri" w:cs="Calibri"/>
          <w:sz w:val="22"/>
          <w:szCs w:val="22"/>
        </w:rPr>
      </w:r>
    </w:p>
    <w:p w14:paraId="0000017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75">
      <w:pPr>
        <w:pStyle w:val="1259"/>
        <w:pBdr/>
        <w:spacing w:after="60" w:before="120"/>
        <w:ind/>
        <w:jc w:val="both"/>
        <w:rPr>
          <w:rFonts w:ascii="Calibri" w:hAnsi="Calibri" w:eastAsia="Calibri" w:cs="Calibri"/>
          <w:sz w:val="22"/>
          <w:szCs w:val="22"/>
        </w:rPr>
      </w:pPr>
      <w:r/>
      <w:bookmarkStart w:id="58" w:name="_heading=h.b5o2k63gga6q"/>
      <w:r/>
      <w:bookmarkEnd w:id="58"/>
      <w:r>
        <w:rPr>
          <w:rFonts w:ascii="Calibri" w:hAnsi="Calibri" w:eastAsia="Calibri" w:cs="Calibri"/>
          <w:sz w:val="22"/>
          <w:szCs w:val="22"/>
          <w:rtl w:val="0"/>
        </w:rPr>
        <w:t xml:space="preserve">Declaration</w:t>
      </w:r>
      <w:r>
        <w:rPr>
          <w:rFonts w:ascii="Calibri" w:hAnsi="Calibri" w:eastAsia="Calibri" w:cs="Calibri"/>
          <w:sz w:val="22"/>
          <w:szCs w:val="22"/>
        </w:rPr>
      </w:r>
      <w:r>
        <w:rPr>
          <w:rFonts w:ascii="Calibri" w:hAnsi="Calibri" w:eastAsia="Calibri" w:cs="Calibri"/>
          <w:sz w:val="22"/>
          <w:szCs w:val="22"/>
        </w:rPr>
      </w:r>
    </w:p>
    <w:p w14:paraId="0000017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its affiliates, suppliers, service providers, consultants and subcontractors (including directors, employees and agents of such entities) hereby declares:</w:t>
      </w:r>
      <w:r>
        <w:rPr>
          <w:rFonts w:ascii="Calibri" w:hAnsi="Calibri" w:eastAsia="Calibri" w:cs="Calibri"/>
          <w:sz w:val="22"/>
          <w:szCs w:val="22"/>
        </w:rPr>
      </w:r>
      <w:r>
        <w:rPr>
          <w:rFonts w:ascii="Calibri" w:hAnsi="Calibri" w:eastAsia="Calibri" w:cs="Calibri"/>
          <w:sz w:val="22"/>
          <w:szCs w:val="22"/>
        </w:rPr>
      </w:r>
    </w:p>
    <w:p w14:paraId="00000177">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no natural or legal person on whose behalf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acting is subject to the prohibitions set out in Articles L. 2141-1 to L. 2141-6 and L. 2141-7 to L. 2141-11 of the French Public Procurement Code or any equivalent prohibition issued in another country;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8">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commitments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within the scope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do not create a situation of conflict of interest that may affect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9">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not committed any act that may influence the process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implementation to the detriment of the Beneficiary, and notably that no Understanding has been, or will be, entered into;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A">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negotiation, award and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not given rise to, nor will do so in the future, any act of corruption as defined in the United Nations Convention Against Corruption dated 31 October 2003;</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B">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be awarded in accordance with standard practices and in electronic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Furthermore,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service providers, consultants and subcontractors (including directors, employees and agents of such entities) certify that: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E">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do not acquire and don't supply/will not acquire or supply equipment and do not intervene/will not intervene in sectors under embargo by the United Nations, the European Union or France. For information, the list can be found at: </w:t>
      </w:r>
      <w:hyperlink r:id="rId30"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F">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included in the lists of financial sanctions adop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ted by the United Nations, the European Union, France and/or the United States, notably in the fight against the financing of terrorism and against attacks on national peace and security. For information, the lists can be consulted at the references below: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0">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Nations, the United Nations Security Council sanctions lists: </w:t>
      </w:r>
      <w:hyperlink r:id="rId31" w:tooltip="https://www.un.org/securitycouncil/content/un-sc-consolidated-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https://www.un.org/securitycouncil/content/un-sc-consolidated-list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1">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European Union, the lists can be consulted at the following address: </w:t>
      </w:r>
      <w:hyperlink r:id="rId32"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2">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France, see: </w:t>
      </w:r>
      <w:hyperlink r:id="rId33" w:tooltip="https://gels-avoirs.dgtresor.gouv.fr/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https://gels-avoirs.dgtresor.gouv.fr/List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3">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States, see: </w:t>
      </w:r>
      <w:hyperlink r:id="rId34" w:tooltip="https://home.treasury.gov/policy-issues/financial-sanctions/sanctions-programs-and-country-information"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https://home.treasury.gov/policy-issues/financial-sanctions/sanctions-programs-and-country-information</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4">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subject to a World Bank exclusion order and are not on the list published by the World Bank. For information, the list can be consulted at the following address: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hyperlink r:id="rId35" w:tooltip="https://www.worldbank.org/en/projects-operations/procurement/debarred-firms"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https://www.worldbank.org/en/projects-operations/procurement/debarred-firms</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iCs/>
          <w:smallCaps w:val="0"/>
          <w:strike w:val="0"/>
          <w:color w:val="000000"/>
          <w:sz w:val="22"/>
          <w:szCs w:val="22"/>
          <w:u w:val="none"/>
          <w:shd w:val="clear" w:color="auto" w:fill="auto"/>
          <w:vertAlign w:val="baseline"/>
          <w:rtl w:val="0"/>
        </w:rPr>
        <w:t xml:space="preserve">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24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Finally,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contractors, consultants and subcontractors (including directors, employees and agents of such entities) acknowledge and accept that the above-mentioned situations may lead to the automatic termination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8">
      <w:pPr>
        <w:pBdr/>
        <w:spacing w:before="24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They undertake to inform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without delay of any change in our situation during the execution of the contract with regard to the present declaration.</w:t>
      </w:r>
      <w:r>
        <w:rPr>
          <w:rFonts w:ascii="Calibri" w:hAnsi="Calibri" w:eastAsia="Calibri" w:cs="Calibri"/>
          <w:sz w:val="22"/>
          <w:szCs w:val="22"/>
        </w:rPr>
      </w:r>
      <w:r>
        <w:rPr>
          <w:rFonts w:ascii="Calibri" w:hAnsi="Calibri" w:eastAsia="Calibri" w:cs="Calibri"/>
          <w:sz w:val="22"/>
          <w:szCs w:val="22"/>
        </w:rPr>
      </w:r>
    </w:p>
    <w:p w14:paraId="00000189">
      <w:pPr>
        <w:pBdr/>
        <w:spacing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18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2"/>
        <w:jc w:val="both"/>
        <w:rPr>
          <w:rFonts w:ascii="Calibri" w:hAnsi="Calibri" w:eastAsia="Calibri" w:cs="Calibri"/>
          <w:b/>
          <w:bCs/>
          <w:i w:val="0"/>
          <w:iCs w:val="0"/>
          <w:smallCaps w:val="0"/>
          <w:strike w:val="0"/>
          <w:color w:val="000000"/>
          <w:sz w:val="22"/>
          <w:szCs w:val="22"/>
          <w:u w:val="single"/>
          <w:shd w:val="clear" w:color="auto" w:fill="auto"/>
          <w:vertAlign w:val="baseline"/>
        </w:rPr>
      </w:pPr>
      <w:r>
        <w:rPr>
          <w:rtl w:val="0"/>
        </w:rPr>
      </w:r>
      <w:r>
        <w:rPr>
          <w:rFonts w:ascii="Calibri" w:hAnsi="Calibri" w:eastAsia="Calibri" w:cs="Calibri"/>
          <w:b/>
          <w:bCs/>
          <w:i w:val="0"/>
          <w:iCs w:val="0"/>
          <w:smallCaps w:val="0"/>
          <w:strike w:val="0"/>
          <w:color w:val="000000"/>
          <w:sz w:val="22"/>
          <w:szCs w:val="22"/>
          <w:u w:val="single"/>
          <w:shd w:val="clear" w:color="auto" w:fill="auto"/>
          <w:vertAlign w:val="baseline"/>
        </w:rPr>
      </w:r>
      <w:r>
        <w:rPr>
          <w:rFonts w:ascii="Calibri" w:hAnsi="Calibri" w:eastAsia="Calibri" w:cs="Calibri"/>
          <w:b/>
          <w:bCs/>
          <w:i w:val="0"/>
          <w:iCs w:val="0"/>
          <w:smallCaps w:val="0"/>
          <w:strike w:val="0"/>
          <w:color w:val="000000"/>
          <w:sz w:val="22"/>
          <w:szCs w:val="22"/>
          <w:u w:val="single"/>
          <w:shd w:val="clear" w:color="auto" w:fill="auto"/>
          <w:vertAlign w:val="baseline"/>
        </w:rPr>
      </w:r>
    </w:p>
    <w:p w14:paraId="0000018B">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THE CONTRACTOR:</w:t>
      </w:r>
      <w:r>
        <w:rPr>
          <w:rFonts w:ascii="Calibri" w:hAnsi="Calibri" w:eastAsia="Calibri" w:cs="Calibri"/>
          <w:sz w:val="22"/>
          <w:szCs w:val="22"/>
        </w:rPr>
      </w:r>
      <w:r>
        <w:rPr>
          <w:rFonts w:ascii="Calibri" w:hAnsi="Calibri" w:eastAsia="Calibri" w:cs="Calibri"/>
          <w:sz w:val="22"/>
          <w:szCs w:val="22"/>
        </w:rPr>
      </w:r>
    </w:p>
    <w:p w14:paraId="0000018C">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8D">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Preceded by the handwritten words “Read and approved":</w:t>
      </w:r>
      <w:r>
        <w:rPr>
          <w:rFonts w:ascii="Calibri" w:hAnsi="Calibri" w:eastAsia="Calibri" w:cs="Calibri"/>
          <w:sz w:val="22"/>
          <w:szCs w:val="22"/>
        </w:rPr>
      </w:r>
      <w:r>
        <w:rPr>
          <w:rFonts w:ascii="Calibri" w:hAnsi="Calibri" w:eastAsia="Calibri" w:cs="Calibri"/>
          <w:sz w:val="22"/>
          <w:szCs w:val="22"/>
        </w:rPr>
      </w:r>
    </w:p>
    <w:p w14:paraId="0000018E">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4"/>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8F">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0">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1">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2">
      <w:pPr>
        <w:pBdr/>
        <w:spacing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3">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EXPERTISE FRANCE:</w:t>
      </w:r>
      <w:r>
        <w:rPr>
          <w:rFonts w:ascii="Calibri" w:hAnsi="Calibri" w:eastAsia="Calibri" w:cs="Calibri"/>
          <w:sz w:val="22"/>
          <w:szCs w:val="22"/>
        </w:rPr>
      </w:r>
      <w:r>
        <w:rPr>
          <w:rFonts w:ascii="Calibri" w:hAnsi="Calibri" w:eastAsia="Calibri" w:cs="Calibri"/>
          <w:sz w:val="22"/>
          <w:szCs w:val="22"/>
        </w:rPr>
      </w:r>
    </w:p>
    <w:p w14:paraId="00000194">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This offer is accepted as an undertaking.</w:t>
      </w:r>
      <w:r>
        <w:rPr>
          <w:rFonts w:ascii="Calibri" w:hAnsi="Calibri" w:eastAsia="Calibri" w:cs="Calibri"/>
          <w:sz w:val="22"/>
          <w:szCs w:val="22"/>
        </w:rPr>
      </w:r>
      <w:r>
        <w:rPr>
          <w:rFonts w:ascii="Calibri" w:hAnsi="Calibri" w:eastAsia="Calibri" w:cs="Calibri"/>
          <w:sz w:val="22"/>
          <w:szCs w:val="22"/>
        </w:rPr>
      </w:r>
    </w:p>
    <w:p w14:paraId="00000195">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96">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5"/>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97">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8">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9">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b/>
          <w:bCs/>
          <w:sz w:val="22"/>
          <w:szCs w:val="22"/>
        </w:r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A">
      <w:pPr>
        <w:pBdr/>
        <w:spacing w:before="240" w:line="240" w:lineRule="auto"/>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Done in one original copy retained by </w:t>
      </w:r>
      <w:r>
        <w:rPr>
          <w:rFonts w:ascii="Calibri" w:hAnsi="Calibri" w:eastAsia="Calibri" w:cs="Calibri"/>
          <w:b/>
          <w:bCs/>
          <w:smallCaps/>
          <w:sz w:val="22"/>
          <w:szCs w:val="22"/>
          <w:u w:val="single"/>
          <w:rtl w:val="0"/>
        </w:rPr>
        <w:t xml:space="preserve">Expertise France</w:t>
      </w:r>
      <w:r>
        <w:rPr>
          <w:rFonts w:ascii="Calibri" w:hAnsi="Calibri" w:eastAsia="Calibri" w:cs="Calibri"/>
          <w:b/>
          <w:bCs/>
          <w:sz w:val="22"/>
          <w:szCs w:val="22"/>
          <w:u w:val="single"/>
          <w:rtl w:val="0"/>
        </w:rPr>
        <w:t xml:space="preserve">.</w:t>
      </w:r>
      <w:r>
        <w:rPr>
          <w:rFonts w:ascii="Calibri" w:hAnsi="Calibri" w:eastAsia="Calibri" w:cs="Calibri"/>
          <w:b/>
          <w:bCs/>
          <w:sz w:val="22"/>
          <w:szCs w:val="22"/>
          <w:u w:val="single"/>
        </w:rPr>
      </w:r>
      <w:r>
        <w:rPr>
          <w:rFonts w:ascii="Calibri" w:hAnsi="Calibri" w:eastAsia="Calibri" w:cs="Calibri"/>
          <w:b/>
          <w:bCs/>
          <w:sz w:val="22"/>
          <w:szCs w:val="22"/>
          <w:u w:val="single"/>
        </w:rPr>
      </w:r>
    </w:p>
    <w:p w14:paraId="0000019B">
      <w:pPr>
        <w:pBdr/>
        <w:spacing w:before="240" w:line="240" w:lineRule="auto"/>
        <w:ind w:right="3367"/>
        <w:jc w:val="both"/>
        <w:rPr>
          <w:rFonts w:ascii="Calibri" w:hAnsi="Calibri" w:eastAsia="Calibri" w:cs="Calibri"/>
          <w:b/>
          <w:bCs/>
          <w:sz w:val="22"/>
          <w:szCs w:val="22"/>
        </w:rPr>
        <w:sectPr>
          <w:headerReference w:type="default" r:id="rId12"/>
          <w:footnotePr/>
          <w:endnotePr/>
          <w:type w:val="nextPage"/>
          <w:pgSz w:h="16838" w:orient="portrait" w:w="11906"/>
          <w:pgMar w:top="902" w:right="1009" w:bottom="720" w:left="1151" w:header="397" w:footer="90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C">
      <w:pPr>
        <w:widowControl w:val="false"/>
        <w:pBdr/>
        <w:spacing/>
        <w:ind/>
        <w:rPr>
          <w:rFonts w:ascii="Calibri" w:hAnsi="Calibri" w:eastAsia="Calibri" w:cs="Calibri"/>
          <w:b/>
          <w:bCs/>
          <w:smallCaps/>
        </w:rPr>
      </w:pPr>
      <w:r>
        <w:rPr>
          <w:rtl w:val="0"/>
        </w:rPr>
      </w:r>
      <w:r>
        <w:rPr>
          <w:rFonts w:ascii="Calibri" w:hAnsi="Calibri" w:eastAsia="Calibri" w:cs="Calibri"/>
          <w:b/>
          <w:bCs/>
          <w:smallCaps/>
        </w:rPr>
      </w:r>
      <w:r>
        <w:rPr>
          <w:rFonts w:ascii="Calibri" w:hAnsi="Calibri" w:eastAsia="Calibri" w:cs="Calibri"/>
          <w:b/>
          <w:bCs/>
          <w:smallCaps/>
        </w:rPr>
      </w:r>
    </w:p>
    <w:p w14:paraId="000001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i w:val="0"/>
          <w:iCs w:val="0"/>
          <w:smallCaps/>
          <w:strike w:val="0"/>
          <w:color w:val="000000"/>
          <w:sz w:val="24"/>
          <w:szCs w:val="24"/>
          <w:u w:val="none"/>
          <w:shd w:val="clear" w:color="auto" w:fill="auto"/>
          <w:vertAlign w:val="baseline"/>
        </w:rPr>
      </w:pPr>
      <w:r/>
      <w:bookmarkStart w:id="59" w:name="_heading=h.ixaizc154b7y"/>
      <w:r/>
      <w:bookmarkEnd w:id="59"/>
      <w:r>
        <w:rPr>
          <w:rFonts w:ascii="Calibri" w:hAnsi="Calibri" w:eastAsia="Calibri" w:cs="Calibri"/>
          <w:b/>
          <w:bCs/>
          <w:i w:val="0"/>
          <w:iCs w:val="0"/>
          <w:smallCaps/>
          <w:strike w:val="0"/>
          <w:color w:val="000000"/>
          <w:sz w:val="24"/>
          <w:szCs w:val="24"/>
          <w:u w:val="none"/>
          <w:shd w:val="clear" w:color="auto" w:fill="auto"/>
          <w:vertAlign w:val="baseline"/>
          <w:rtl w:val="0"/>
        </w:rPr>
        <w:t xml:space="preserve">ANNEX 1: SPECIFICATIONS</w:t>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19E">
      <w:pPr>
        <w:pBdr/>
        <w:spacing w:after="240" w:before="60" w:line="276" w:lineRule="auto"/>
        <w:ind/>
        <w:jc w:val="center"/>
        <w:rPr>
          <w:b/>
          <w:bCs/>
        </w:rPr>
      </w:pPr>
      <w:r>
        <w:rPr>
          <w:b/>
          <w:bCs/>
          <w:rtl w:val="0"/>
        </w:rPr>
        <w:t xml:space="preserve">TERMS OF REFERENCE AND TECHNICAL SPECIFICATIONS</w:t>
      </w:r>
      <w:r>
        <w:rPr>
          <w:b/>
          <w:bCs/>
        </w:rPr>
      </w:r>
      <w:r>
        <w:rPr>
          <w:b/>
          <w:bCs/>
        </w:rPr>
      </w:r>
    </w:p>
    <w:tbl>
      <w:tblPr>
        <w:tblStyle w:val="1271"/>
        <w:tblInd w:w="70" w:type="dxa"/>
        <w:tblW w:w="90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903"/>
        <w:gridCol w:w="6169"/>
        <w:tblGridChange w:id="5">
          <w:tblGrid>
            <w:gridCol w:w="2903"/>
            <w:gridCol w:w="6169"/>
          </w:tblGrid>
        </w:tblGridChange>
      </w:tblGrid>
      <w:tr>
        <w:trPr>
          <w:cantSplit w:val="false"/>
          <w:trHeight w:val="283"/>
        </w:trPr>
        <w:tc>
          <w:tcPr>
            <w:shd w:val="clear" w:color="auto" w:fill="e6e6e6"/>
            <w:tcBorders/>
            <w:vAlign w:val="center"/>
            <w:textDirection w:val="lrTb"/>
            <w:noWrap w:val="false"/>
          </w:tcPr>
          <w:p w14:paraId="0000019F">
            <w:pPr>
              <w:pBdr/>
              <w:spacing w:before="60" w:line="276" w:lineRule="auto"/>
              <w:ind/>
              <w:rPr/>
            </w:pPr>
            <w:r>
              <w:rPr>
                <w:rtl w:val="0"/>
              </w:rPr>
              <w:t xml:space="preserve">Assignment name</w:t>
            </w:r>
            <w:r/>
          </w:p>
        </w:tc>
        <w:tc>
          <w:tcPr>
            <w:tcBorders/>
            <w:vAlign w:val="center"/>
            <w:textDirection w:val="lrTb"/>
            <w:noWrap w:val="false"/>
          </w:tcPr>
          <w:p w14:paraId="000001A0">
            <w:pPr>
              <w:pBdr/>
              <w:spacing w:before="60" w:line="276" w:lineRule="auto"/>
              <w:ind/>
              <w:rPr/>
            </w:pPr>
            <w:r>
              <w:rPr>
                <w:rtl w:val="0"/>
              </w:rPr>
              <w:t xml:space="preserve">Supply of the Rehabilitation Equipment</w:t>
            </w:r>
            <w:r/>
          </w:p>
        </w:tc>
      </w:tr>
      <w:tr>
        <w:trPr>
          <w:cantSplit w:val="false"/>
          <w:trHeight w:val="283"/>
        </w:trPr>
        <w:tc>
          <w:tcPr>
            <w:shd w:val="clear" w:color="auto" w:fill="e6e6e6"/>
            <w:tcBorders/>
            <w:vAlign w:val="center"/>
            <w:textDirection w:val="lrTb"/>
            <w:noWrap w:val="false"/>
          </w:tcPr>
          <w:p w14:paraId="000001A1">
            <w:pPr>
              <w:pBdr/>
              <w:spacing w:before="60" w:line="276" w:lineRule="auto"/>
              <w:ind/>
              <w:rPr/>
            </w:pPr>
            <w:r>
              <w:rPr>
                <w:rtl w:val="0"/>
              </w:rPr>
              <w:t xml:space="preserve">Beneficiary</w:t>
            </w:r>
            <w:r/>
          </w:p>
        </w:tc>
        <w:tc>
          <w:tcPr>
            <w:tcBorders/>
            <w:vAlign w:val="center"/>
            <w:textDirection w:val="lrTb"/>
            <w:noWrap w:val="false"/>
          </w:tcPr>
          <w:p w14:paraId="000001A2">
            <w:pPr>
              <w:pBdr/>
              <w:spacing w:line="276" w:lineRule="auto"/>
              <w:ind/>
              <w:rPr/>
            </w:pPr>
            <w:r>
              <w:rPr>
                <w:rtl w:val="0"/>
              </w:rPr>
              <w:t xml:space="preserve">Municipal Clinical Hospital №1 of the Odesa City Council</w:t>
            </w:r>
            <w:r/>
          </w:p>
        </w:tc>
      </w:tr>
      <w:tr>
        <w:trPr>
          <w:cantSplit w:val="false"/>
          <w:trHeight w:val="283"/>
        </w:trPr>
        <w:tc>
          <w:tcPr>
            <w:shd w:val="clear" w:color="auto" w:fill="e6e6e6"/>
            <w:tcBorders/>
            <w:vAlign w:val="center"/>
            <w:textDirection w:val="lrTb"/>
            <w:noWrap w:val="false"/>
          </w:tcPr>
          <w:p w14:paraId="000001A3">
            <w:pPr>
              <w:pBdr/>
              <w:spacing w:before="60" w:line="276" w:lineRule="auto"/>
              <w:ind/>
              <w:rPr/>
            </w:pPr>
            <w:r>
              <w:rPr>
                <w:rtl w:val="0"/>
              </w:rPr>
              <w:t xml:space="preserve">Country</w:t>
            </w:r>
            <w:r/>
          </w:p>
        </w:tc>
        <w:tc>
          <w:tcPr>
            <w:tcBorders/>
            <w:vAlign w:val="center"/>
            <w:textDirection w:val="lrTb"/>
            <w:noWrap w:val="false"/>
          </w:tcPr>
          <w:p w14:paraId="000001A4">
            <w:pPr>
              <w:pBdr/>
              <w:spacing w:line="276" w:lineRule="auto"/>
              <w:ind/>
              <w:rPr/>
            </w:pPr>
            <w:r>
              <w:rPr>
                <w:rtl w:val="0"/>
              </w:rPr>
              <w:t xml:space="preserve">Ukraine</w:t>
            </w:r>
            <w:r/>
          </w:p>
        </w:tc>
      </w:tr>
    </w:tbl>
    <w:p w14:paraId="000001A5">
      <w:pPr>
        <w:pBdr/>
        <w:spacing w:before="60" w:line="276" w:lineRule="auto"/>
        <w:ind/>
        <w:jc w:val="both"/>
        <w:rPr/>
      </w:pPr>
      <w:r>
        <w:rPr>
          <w:rtl w:val="0"/>
        </w:rPr>
      </w:r>
      <w:r/>
    </w:p>
    <w:p w14:paraId="000001A6">
      <w:pPr>
        <w:numPr>
          <w:ilvl w:val="0"/>
          <w:numId w:val="3"/>
        </w:numPr>
        <w:pBdr/>
        <w:shd w:val="clear" w:color="auto" w:fill="e6e6e6"/>
        <w:spacing w:line="276" w:lineRule="auto"/>
        <w:ind w:left="180"/>
        <w:rPr>
          <w:b/>
          <w:bCs/>
        </w:rPr>
      </w:pPr>
      <w:r>
        <w:rPr>
          <w:b/>
          <w:bCs/>
          <w:rtl w:val="0"/>
        </w:rPr>
        <w:t xml:space="preserve">Background information</w:t>
      </w:r>
      <w:r>
        <w:rPr>
          <w:b/>
          <w:bCs/>
        </w:rPr>
      </w:r>
      <w:r>
        <w:rPr>
          <w:b/>
          <w:bCs/>
        </w:rPr>
      </w:r>
    </w:p>
    <w:p w14:paraId="000001A7">
      <w:pPr>
        <w:pBdr/>
        <w:spacing w:after="240" w:before="240" w:line="276" w:lineRule="auto"/>
        <w:ind/>
        <w:jc w:val="both"/>
        <w:rPr/>
      </w:pPr>
      <w:r>
        <w:rPr>
          <w:rtl w:val="0"/>
        </w:rPr>
        <w:t xml:space="preserve">Expertise France is the French International Technical Cooperation Agency, with the status of public institution under the joint supervision of the Ministry of Europe and Foreign Affairs and th</w:t>
      </w:r>
      <w:r>
        <w:rPr>
          <w:rtl w:val="0"/>
        </w:rPr>
        <w:t xml:space="preserve">e Ministries of Economics, Finance and Industrial and Digital Sovereignty. It is the second largest technical cooperation agency in Europe. Expertise France designs and implements projects that strengthen public policies over the long term in developing an</w:t>
      </w:r>
      <w:r>
        <w:rPr>
          <w:rtl w:val="0"/>
        </w:rPr>
        <w:t xml:space="preserve">d emerging countries. As the French public agency for international technical cooperation, Expertise France operates in more than 100 countries, implementing more than 400 projects. The agency works in close collaboration with French public institutions, a</w:t>
      </w:r>
      <w:r>
        <w:rPr>
          <w:rtl w:val="0"/>
        </w:rPr>
        <w:t xml:space="preserve">s well as with the European Union, to respond to the needs of partner countries that wish to improve public policies that tackle these challenges. In Ukraine the Agency has been regularly present since 2006 through series of technical assistance projects. </w:t>
      </w:r>
      <w:r/>
    </w:p>
    <w:p w14:paraId="000001A8">
      <w:pPr>
        <w:pBdr/>
        <w:spacing w:line="276" w:lineRule="auto"/>
        <w:ind/>
        <w:jc w:val="both"/>
        <w:rPr/>
      </w:pPr>
      <w:r>
        <w:rPr>
          <w:b/>
          <w:bCs/>
          <w:rtl w:val="0"/>
        </w:rPr>
        <w:t xml:space="preserve">Expertise France in Ukraine</w:t>
      </w:r>
      <w:r>
        <w:rPr>
          <w:rtl w:val="0"/>
        </w:rPr>
      </w:r>
      <w:r/>
    </w:p>
    <w:p w14:paraId="000001A9">
      <w:pPr>
        <w:pBdr/>
        <w:spacing w:after="240" w:line="276" w:lineRule="auto"/>
        <w:ind/>
        <w:jc w:val="both"/>
        <w:rPr/>
      </w:pPr>
      <w:r>
        <w:rPr>
          <w:rtl w:val="0"/>
        </w:rPr>
        <w:t xml:space="preserve">The MEAE has financed in 2023 Expertise France with an envelope of €14.5 million to position French technical cooperation </w:t>
      </w:r>
      <w:r>
        <w:rPr>
          <w:rtl w:val="0"/>
        </w:rPr>
        <w:t xml:space="preserve">and respond to Ukraine’s short, medium and long-term needs. This facility, entitled mAIDan Ukraine, finances and co-finances technical assistance projects to support Ukrainian authorities in preparing for reconstruction and the European accession process. </w:t>
      </w:r>
      <w:r/>
    </w:p>
    <w:p w14:paraId="000001AA">
      <w:pPr>
        <w:pBdr/>
        <w:spacing w:after="240" w:line="276" w:lineRule="auto"/>
        <w:ind/>
        <w:jc w:val="both"/>
        <w:rPr/>
      </w:pPr>
      <w:r>
        <w:rPr>
          <w:rtl w:val="0"/>
        </w:rPr>
        <w:t xml:space="preserve">The ongoing other projects in Ukraine include: the EU-funded Project</w:t>
      </w:r>
      <w:r>
        <w:rPr>
          <w:b/>
          <w:bCs/>
          <w:rtl w:val="0"/>
        </w:rPr>
        <w:t xml:space="preserve"> Pravo-Justice</w:t>
      </w:r>
      <w:r>
        <w:rPr>
          <w:rtl w:val="0"/>
        </w:rPr>
        <w:t xml:space="preserve"> which promotes greater rule of law in Ukraine, in line with European standards and comparative practices; the “</w:t>
      </w:r>
      <w:r>
        <w:rPr>
          <w:b/>
          <w:bCs/>
          <w:rtl w:val="0"/>
        </w:rPr>
        <w:t xml:space="preserve">Stiykist</w:t>
      </w:r>
      <w:r>
        <w:rPr>
          <w:rtl w:val="0"/>
        </w:rPr>
        <w:t xml:space="preserve">” (resilience) project aims to contribute to social transformation and resilience in Ukraine by strengthening the capacities of national, regional a</w:t>
      </w:r>
      <w:r>
        <w:rPr>
          <w:rtl w:val="0"/>
        </w:rPr>
        <w:t xml:space="preserve">nd local institutions in the field of vocational training and social services, with a particular focus on the social inclusion of the most vulnerable; the Technical Support of the State Audit Service project which aims to mobilize French and national techn</w:t>
      </w:r>
      <w:r>
        <w:rPr>
          <w:rtl w:val="0"/>
        </w:rPr>
        <w:t xml:space="preserve">ical expertise to help bringing Ukrainian legislation into line with the acquis Communautaire, particularly in terms of protecting the EU’s financial interests and supporting the SAS in its role of inspecting and monitoring the use of reconstruction funds.</w:t>
      </w:r>
      <w:r/>
    </w:p>
    <w:p w14:paraId="000001AB">
      <w:pPr>
        <w:pBdr/>
        <w:spacing w:line="276" w:lineRule="auto"/>
        <w:ind/>
        <w:jc w:val="both"/>
        <w:rPr/>
      </w:pPr>
      <w:r>
        <w:rPr>
          <w:b/>
          <w:bCs/>
          <w:rtl w:val="0"/>
        </w:rPr>
        <w:t xml:space="preserve">Expertise France’s Health Programme</w:t>
      </w:r>
      <w:r>
        <w:rPr>
          <w:rtl w:val="0"/>
        </w:rPr>
        <w:t xml:space="preserve"> </w:t>
      </w:r>
      <w:r/>
    </w:p>
    <w:p w14:paraId="000001AC">
      <w:pPr>
        <w:pBdr/>
        <w:spacing w:line="276" w:lineRule="auto"/>
        <w:ind/>
        <w:jc w:val="both"/>
        <w:rPr/>
      </w:pPr>
      <w:r>
        <w:rPr>
          <w:rtl w:val="0"/>
        </w:rPr>
        <w:t xml:space="preserve">As part of France’s strategy for reconstruction and aid in Ukraine focusing on the health sector The French Ministry of Europe and Foreign Affairs (MEAE)’s Crisis Center (CDCS) has financed €18 million over 36 months to the </w:t>
      </w:r>
      <w:r>
        <w:rPr>
          <w:b/>
          <w:bCs/>
          <w:rtl w:val="0"/>
        </w:rPr>
        <w:t xml:space="preserve">APPUI</w:t>
      </w:r>
      <w:r>
        <w:rPr>
          <w:rtl w:val="0"/>
        </w:rPr>
        <w:t xml:space="preserve"> Health Project from 2024 to 2026. The project, implemented in partnersh</w:t>
      </w:r>
      <w:r>
        <w:rPr>
          <w:rtl w:val="0"/>
        </w:rPr>
        <w:t xml:space="preserve">ip with Ministry of Health of Ukraine and other key stakeholders aims to improve Ukrainian populations’ access to essential healthcare services in times of crisis. The project focuses on enhancing hospital cooperation between France and Ukraine, mobilizing</w:t>
      </w:r>
      <w:r>
        <w:rPr>
          <w:rtl w:val="0"/>
        </w:rPr>
        <w:t xml:space="preserve"> French expertise, financing implementing partners, financing national healthcare authorities’ resources and projects, reconstructing and modernizing healthcare infrastructure and donating medical equipment at the request of Ministry of Health of Ukraine. </w:t>
      </w:r>
      <w:r/>
    </w:p>
    <w:p w14:paraId="000001AD">
      <w:pPr>
        <w:pBdr/>
        <w:spacing w:after="240" w:line="276" w:lineRule="auto"/>
        <w:ind/>
        <w:jc w:val="both"/>
        <w:rPr/>
      </w:pPr>
      <w:r>
        <w:rPr>
          <w:rtl w:val="0"/>
        </w:rPr>
        <w:t xml:space="preserve">The </w:t>
      </w:r>
      <w:r>
        <w:rPr>
          <w:b/>
          <w:bCs/>
          <w:rtl w:val="0"/>
        </w:rPr>
        <w:t xml:space="preserve">REHAB</w:t>
      </w:r>
      <w:r>
        <w:rPr>
          <w:rtl w:val="0"/>
        </w:rPr>
        <w:t xml:space="preserve"> project, funded by the French Development Agency (l’AFD) for €5 million over 24 months, from 2025 to 2026 aims overall supporting Ukraine in maintaining and stre</w:t>
      </w:r>
      <w:r>
        <w:rPr>
          <w:rtl w:val="0"/>
        </w:rPr>
        <w:t xml:space="preserve">ngthening its healthcare system to address the consequences of the conflict on the physical and mental health of Ukrainians. Activities are designed around enhancing mental health services and infrastructure in the Odesa region; strengthening physical reha</w:t>
      </w:r>
      <w:r>
        <w:rPr>
          <w:rtl w:val="0"/>
        </w:rPr>
        <w:t xml:space="preserve">bilitation efforts and infrastructure, while also emphasizing broader capacity-building initiatives across Ukraine with national and international partners; and identifying and conducting feasibility studies to prepare for concessional loan opportunities. </w:t>
      </w:r>
      <w:r/>
    </w:p>
    <w:p w14:paraId="000001AE">
      <w:pPr>
        <w:numPr>
          <w:ilvl w:val="0"/>
          <w:numId w:val="3"/>
        </w:numPr>
        <w:pBdr/>
        <w:shd w:val="clear" w:color="auto" w:fill="e6e6e6"/>
        <w:spacing w:line="276" w:lineRule="auto"/>
        <w:ind w:left="180"/>
        <w:rPr>
          <w:b/>
          <w:bCs/>
        </w:rPr>
      </w:pPr>
      <w:r>
        <w:rPr>
          <w:b/>
          <w:bCs/>
          <w:rtl w:val="0"/>
        </w:rPr>
        <w:t xml:space="preserve">Objectives of the assignment</w:t>
      </w:r>
      <w:r>
        <w:rPr>
          <w:b/>
          <w:bCs/>
        </w:rPr>
      </w:r>
      <w:r>
        <w:rPr>
          <w:b/>
          <w:bCs/>
        </w:rPr>
      </w:r>
    </w:p>
    <w:p w14:paraId="000001AF">
      <w:pPr>
        <w:pBdr/>
        <w:spacing w:line="276" w:lineRule="auto"/>
        <w:ind/>
        <w:jc w:val="both"/>
        <w:rPr/>
      </w:pPr>
      <w:r>
        <w:rPr>
          <w:rtl w:val="0"/>
        </w:rPr>
      </w:r>
      <w:r/>
    </w:p>
    <w:p w14:paraId="000001B0">
      <w:pPr>
        <w:pBdr/>
        <w:spacing w:after="240" w:line="276" w:lineRule="auto"/>
        <w:ind/>
        <w:jc w:val="both"/>
        <w:rPr/>
      </w:pPr>
      <w:r>
        <w:rPr>
          <w:rtl w:val="0"/>
        </w:rPr>
        <w:t xml:space="preserve">Odesa Municipal Hospital №1 is a key healthcare facility within the Odesa municipal healthcare network, providing essential medical services to a large and diverse population of the city and surrounding areas. In the co</w:t>
      </w:r>
      <w:r>
        <w:rPr>
          <w:rtl w:val="0"/>
        </w:rPr>
        <w:t xml:space="preserve">ntext of the ongoing challenges faced by Ukraine’s healthcare system, strengthening rehabilitation services has become increasingly important to support patients recovering from trauma, cardiovascular conditions, neurological disorders, and other injuries.</w:t>
      </w:r>
      <w:r/>
    </w:p>
    <w:p w14:paraId="000001B1">
      <w:pPr>
        <w:pBdr/>
        <w:spacing w:after="240" w:line="276" w:lineRule="auto"/>
        <w:ind/>
        <w:jc w:val="both"/>
        <w:rPr/>
      </w:pPr>
      <w:r>
        <w:rPr>
          <w:rtl w:val="0"/>
        </w:rPr>
        <w:t xml:space="preserve">Odesa Municip</w:t>
      </w:r>
      <w:r>
        <w:rPr>
          <w:rtl w:val="0"/>
        </w:rPr>
        <w:t xml:space="preserve">al Hospital №1 already operates a rehabilitation department that provides services to patients requiring post-acute care and long-term recovery support with a growing number of patients requiring rehabilitation services and specialized rehabilitation care.</w:t>
      </w:r>
      <w:r/>
    </w:p>
    <w:p w14:paraId="000001B2">
      <w:pPr>
        <w:pBdr/>
        <w:spacing w:after="240" w:line="276" w:lineRule="auto"/>
        <w:ind/>
        <w:jc w:val="both"/>
        <w:rPr/>
      </w:pPr>
      <w:r>
        <w:rPr>
          <w:rtl w:val="0"/>
        </w:rPr>
        <w:t xml:space="preserve">Within the fra</w:t>
      </w:r>
      <w:r>
        <w:rPr>
          <w:rtl w:val="0"/>
        </w:rPr>
        <w:t xml:space="preserve">mework of the REHAB project implemented by Health Program of Expertise France, this assignment aims to strengthen the hospital’s existing rehabilitation services through the procurement of modern, high-quality rehabilitation equipment. The provision of sta</w:t>
      </w:r>
      <w:r>
        <w:rPr>
          <w:rtl w:val="0"/>
        </w:rPr>
        <w:t xml:space="preserve">te-of-the-art equipment will enhance the hospital’s capacity to address a wider range of rehabilitation needs, improve the quality of care delivered to patients, and support the rehabilitation department in responding to the increasing demand for services.</w:t>
      </w:r>
      <w:r/>
    </w:p>
    <w:p w14:paraId="000001B3">
      <w:pPr>
        <w:pBdr/>
        <w:spacing w:after="240" w:line="276" w:lineRule="auto"/>
        <w:ind/>
        <w:jc w:val="both"/>
        <w:rPr/>
      </w:pPr>
      <w:r>
        <w:rPr>
          <w:rtl w:val="0"/>
        </w:rPr>
        <w:t xml:space="preserve">The rehabilitation equipment will en</w:t>
      </w:r>
      <w:r>
        <w:rPr>
          <w:rtl w:val="0"/>
        </w:rPr>
        <w:t xml:space="preserve">able the hospital to provide comprehensive rehabilitation care to a diverse patient population requiring rehabilitation services. This support will significantly strengthen the hospital’s capacity to deliver safe, effective, and timely rehabilitation care.</w:t>
      </w:r>
      <w:r/>
    </w:p>
    <w:p w14:paraId="000001B4">
      <w:pPr>
        <w:numPr>
          <w:ilvl w:val="0"/>
          <w:numId w:val="3"/>
        </w:numPr>
        <w:pBdr/>
        <w:shd w:val="clear" w:color="auto" w:fill="e6e6e6"/>
        <w:spacing w:line="276" w:lineRule="auto"/>
        <w:ind w:left="180"/>
        <w:rPr>
          <w:b/>
          <w:bCs/>
        </w:rPr>
      </w:pPr>
      <w:r>
        <w:rPr>
          <w:b/>
          <w:bCs/>
          <w:rtl w:val="0"/>
        </w:rPr>
        <w:t xml:space="preserve">Description of the assignment</w:t>
      </w:r>
      <w:r>
        <w:rPr>
          <w:b/>
          <w:bCs/>
        </w:rPr>
      </w:r>
      <w:r>
        <w:rPr>
          <w:b/>
          <w:bCs/>
        </w:rPr>
      </w:r>
    </w:p>
    <w:p w14:paraId="000001B5">
      <w:pPr>
        <w:pBdr/>
        <w:spacing w:before="240" w:line="276" w:lineRule="auto"/>
        <w:ind/>
        <w:jc w:val="both"/>
        <w:rPr>
          <w:highlight w:val="none"/>
        </w:rPr>
      </w:pPr>
      <w:r>
        <w:rPr>
          <w:rtl w:val="0"/>
        </w:rPr>
        <w:t xml:space="preserve">The objective of this procu</w:t>
      </w:r>
      <w:r>
        <w:rPr>
          <w:rtl w:val="0"/>
        </w:rPr>
        <w:t xml:space="preserve">rement is to equip the rehabilitation department of Odesa Municipal Hospital №1 with high-quality, reliable, and fit-for-purpose rehabilitation equipment to ensure the provision of the rehabilitation services to the patients, requiring rehabilitation care.</w:t>
      </w:r>
      <w:r/>
    </w:p>
    <w:p w14:paraId="150E9E08">
      <w:pPr>
        <w:pBdr>
          <w:top w:val="none" w:color="000000" w:sz="4" w:space="0"/>
          <w:left w:val="none" w:color="000000" w:sz="4" w:space="0"/>
          <w:bottom w:val="none" w:color="000000" w:sz="4" w:space="0"/>
          <w:right w:val="none" w:color="000000" w:sz="4" w:space="0"/>
        </w:pBdr>
        <w:spacing w:after="240" w:before="0" w:line="331" w:lineRule="auto"/>
        <w:ind w:right="0" w:firstLine="0" w:left="0"/>
        <w:jc w:val="both"/>
        <w:rPr>
          <w:sz w:val="24"/>
        </w:rPr>
      </w:pPr>
      <w:r>
        <w:rPr>
          <w:rFonts w:ascii="Arial" w:hAnsi="Arial" w:eastAsia="Arial" w:cs="Arial"/>
          <w:color w:val="000000"/>
          <w:sz w:val="20"/>
          <w:u w:val="none"/>
        </w:rPr>
        <w:t xml:space="preserve">This procurement consists of 6 Lots, as follows:</w:t>
      </w:r>
      <w:r>
        <w:rPr>
          <w:sz w:val="24"/>
        </w:rPr>
      </w:r>
      <w:r>
        <w:rPr>
          <w:sz w:val="24"/>
        </w:rPr>
      </w:r>
    </w:p>
    <w:p w14:paraId="5B7D89C0">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sz w:val="20"/>
        </w:rPr>
      </w:pPr>
      <w:r>
        <w:rPr>
          <w:rFonts w:ascii="Arial" w:hAnsi="Arial" w:eastAsia="Arial" w:cs="Arial"/>
          <w:b/>
          <w:color w:val="000000"/>
          <w:sz w:val="20"/>
          <w:highlight w:val="white"/>
          <w:u w:val="none"/>
        </w:rPr>
        <w:t xml:space="preserve">Lot 1:</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Mobility Rehabilitation </w:t>
      </w:r>
      <w:r>
        <w:rPr>
          <w:sz w:val="20"/>
        </w:rPr>
      </w:r>
      <w:r>
        <w:rPr>
          <w:sz w:val="20"/>
        </w:rPr>
      </w:r>
    </w:p>
    <w:p w14:paraId="46D1D401">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sz w:val="20"/>
        </w:rPr>
      </w:pPr>
      <w:r>
        <w:rPr>
          <w:rFonts w:ascii="Arial" w:hAnsi="Arial" w:eastAsia="Arial" w:cs="Arial"/>
          <w:b/>
          <w:color w:val="000000"/>
          <w:sz w:val="20"/>
          <w:highlight w:val="white"/>
          <w:u w:val="none"/>
        </w:rPr>
        <w:t xml:space="preserve">Lot 2:</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Joint Development </w:t>
      </w:r>
      <w:r>
        <w:rPr>
          <w:sz w:val="20"/>
        </w:rPr>
      </w:r>
      <w:r>
        <w:rPr>
          <w:sz w:val="20"/>
        </w:rPr>
      </w:r>
    </w:p>
    <w:p w14:paraId="000A84BA">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sz w:val="20"/>
        </w:rPr>
      </w:pPr>
      <w:r>
        <w:rPr>
          <w:rFonts w:ascii="Arial" w:hAnsi="Arial" w:eastAsia="Arial" w:cs="Arial"/>
          <w:b/>
          <w:color w:val="000000"/>
          <w:sz w:val="20"/>
          <w:highlight w:val="white"/>
          <w:u w:val="none"/>
        </w:rPr>
        <w:t xml:space="preserve">Lot 3:</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Limbs Rehabilitation </w:t>
      </w:r>
      <w:r>
        <w:rPr>
          <w:sz w:val="20"/>
        </w:rPr>
      </w:r>
      <w:r>
        <w:rPr>
          <w:sz w:val="20"/>
        </w:rPr>
      </w:r>
    </w:p>
    <w:p w14:paraId="63261AAB">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sz w:val="20"/>
        </w:rPr>
      </w:pPr>
      <w:r>
        <w:rPr>
          <w:rFonts w:ascii="Arial" w:hAnsi="Arial" w:eastAsia="Arial" w:cs="Arial"/>
          <w:b/>
          <w:color w:val="000000"/>
          <w:sz w:val="20"/>
          <w:highlight w:val="white"/>
          <w:u w:val="none"/>
        </w:rPr>
        <w:t xml:space="preserve">Lot 4:</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Balance Rehabilitation</w:t>
      </w:r>
      <w:r>
        <w:rPr>
          <w:sz w:val="20"/>
        </w:rPr>
      </w:r>
      <w:r>
        <w:rPr>
          <w:sz w:val="20"/>
        </w:rPr>
      </w:r>
    </w:p>
    <w:p w14:paraId="3DC3E6B3">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sz w:val="20"/>
        </w:rPr>
      </w:pPr>
      <w:r>
        <w:rPr>
          <w:rFonts w:ascii="Arial" w:hAnsi="Arial" w:eastAsia="Arial" w:cs="Arial"/>
          <w:b/>
          <w:color w:val="000000"/>
          <w:sz w:val="20"/>
          <w:highlight w:val="white"/>
          <w:u w:val="none"/>
        </w:rPr>
        <w:t xml:space="preserve">Lot 5:</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Physical Rehabilitation Complex</w:t>
      </w:r>
      <w:r>
        <w:rPr>
          <w:sz w:val="20"/>
        </w:rPr>
      </w:r>
      <w:r>
        <w:rPr>
          <w:sz w:val="20"/>
        </w:rPr>
      </w:r>
    </w:p>
    <w:p w14:paraId="27979B59">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sz w:val="20"/>
        </w:rPr>
      </w:pPr>
      <w:r>
        <w:rPr>
          <w:rFonts w:ascii="Arial" w:hAnsi="Arial" w:eastAsia="Arial" w:cs="Arial"/>
          <w:b/>
          <w:color w:val="000000"/>
          <w:sz w:val="20"/>
          <w:highlight w:val="white"/>
          <w:u w:val="none"/>
        </w:rPr>
        <w:t xml:space="preserve">Lot 6:</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Assistive Technologies and Ergotherapy</w:t>
      </w:r>
      <w:r>
        <w:rPr>
          <w:sz w:val="20"/>
        </w:rPr>
      </w:r>
      <w:r>
        <w:rPr>
          <w:sz w:val="20"/>
        </w:rPr>
      </w:r>
    </w:p>
    <w:p w14:paraId="7E2DAF27">
      <w:pPr>
        <w:pBdr>
          <w:top w:val="none" w:color="000000" w:sz="4" w:space="0"/>
          <w:left w:val="none" w:color="000000" w:sz="4" w:space="0"/>
          <w:bottom w:val="none" w:color="000000" w:sz="4" w:space="0"/>
          <w:right w:val="none" w:color="000000" w:sz="4" w:space="0"/>
        </w:pBdr>
        <w:spacing w:after="0" w:before="240" w:line="331" w:lineRule="auto"/>
        <w:ind w:right="0" w:firstLine="0" w:left="0"/>
        <w:jc w:val="both"/>
        <w:rPr>
          <w:sz w:val="24"/>
        </w:rPr>
      </w:pPr>
      <w:r>
        <w:rPr>
          <w:rFonts w:ascii="Arial" w:hAnsi="Arial" w:eastAsia="Arial" w:cs="Arial"/>
          <w:color w:val="000000"/>
          <w:sz w:val="20"/>
          <w:u w:val="none"/>
        </w:rPr>
        <w:t xml:space="preserve">The assignment includes the supply, delivery, installation, and entry into service medical equipment required for the rehabilitation department.  The equipment will be assigned to the following partner healthcare institution: Odesa Municipal Hospital №1. </w:t>
      </w:r>
      <w:r>
        <w:rPr>
          <w:sz w:val="24"/>
        </w:rPr>
      </w:r>
      <w:r>
        <w:rPr>
          <w:sz w:val="24"/>
        </w:rPr>
      </w:r>
    </w:p>
    <w:p w14:paraId="291E5262">
      <w:pPr>
        <w:pBdr>
          <w:top w:val="none" w:color="000000" w:sz="4" w:space="0"/>
          <w:left w:val="none" w:color="000000" w:sz="4" w:space="0"/>
          <w:bottom w:val="none" w:color="000000" w:sz="4" w:space="0"/>
          <w:right w:val="none" w:color="000000" w:sz="4" w:space="0"/>
        </w:pBdr>
        <w:spacing/>
        <w:ind w:right="0" w:firstLine="0" w:left="0"/>
        <w:rPr>
          <w:sz w:val="24"/>
        </w:rPr>
      </w:pPr>
      <w:r>
        <w:rPr>
          <w:rFonts w:ascii="Arial" w:hAnsi="Arial" w:eastAsia="Arial" w:cs="Arial"/>
          <w:color w:val="000000"/>
          <w:sz w:val="20"/>
          <w:u w:val="none"/>
        </w:rPr>
        <w:t xml:space="preserve">A detailed list of items and technical specifications is provided in </w:t>
      </w:r>
      <w:r>
        <w:rPr>
          <w:rFonts w:ascii="Arial" w:hAnsi="Arial" w:eastAsia="Arial" w:cs="Arial"/>
          <w:color w:val="000000"/>
          <w:sz w:val="20"/>
          <w:u w:val="single"/>
        </w:rPr>
        <w:t xml:space="preserve">Annex 2 – Financial Proposal </w:t>
      </w:r>
      <w:r>
        <w:rPr>
          <w:rFonts w:ascii="Arial" w:hAnsi="Arial" w:eastAsia="Arial" w:cs="Arial"/>
          <w:color w:val="000000"/>
          <w:sz w:val="20"/>
          <w:u w:val="none"/>
        </w:rPr>
        <w:t xml:space="preserve">(provided for each Lot).</w:t>
      </w:r>
      <w:r>
        <w:rPr>
          <w:sz w:val="24"/>
        </w:rPr>
      </w:r>
      <w:r>
        <w:rPr>
          <w:sz w:val="24"/>
        </w:rPr>
      </w:r>
    </w:p>
    <w:p w14:paraId="000001B7">
      <w:pPr>
        <w:pBdr/>
        <w:spacing w:line="276" w:lineRule="auto"/>
        <w:ind/>
        <w:jc w:val="both"/>
        <w:rPr/>
      </w:pPr>
      <w:r>
        <w:rPr>
          <w:rtl w:val="0"/>
        </w:rPr>
      </w:r>
      <w:r/>
    </w:p>
    <w:p w14:paraId="000001B8">
      <w:pPr>
        <w:pBdr/>
        <w:spacing w:line="276" w:lineRule="auto"/>
        <w:ind/>
        <w:jc w:val="both"/>
        <w:rPr/>
      </w:pPr>
      <w:r>
        <w:rPr>
          <w:u w:val="single"/>
          <w:rtl w:val="0"/>
        </w:rPr>
        <w:t xml:space="preserve">Requirements for the Supplier</w:t>
      </w:r>
      <w:r>
        <w:rPr>
          <w:rtl w:val="0"/>
        </w:rPr>
      </w:r>
      <w:r/>
    </w:p>
    <w:p w14:paraId="000001B9">
      <w:pPr>
        <w:pBdr/>
        <w:spacing w:line="276" w:lineRule="auto"/>
        <w:ind/>
        <w:jc w:val="both"/>
        <w:rPr/>
      </w:pPr>
      <w:r>
        <w:rPr>
          <w:rtl w:val="0"/>
        </w:rPr>
        <w:t xml:space="preserve">The Supplier must meet the following minimum qualifications:</w:t>
      </w:r>
      <w:r/>
    </w:p>
    <w:p w14:paraId="000001BA">
      <w:pPr>
        <w:numPr>
          <w:ilvl w:val="0"/>
          <w:numId w:val="6"/>
        </w:numPr>
        <w:pBdr/>
        <w:spacing w:line="276" w:lineRule="auto"/>
        <w:ind w:hanging="360" w:left="720"/>
        <w:jc w:val="both"/>
        <w:rPr>
          <w:rFonts w:ascii="Arial" w:hAnsi="Arial" w:eastAsia="Arial" w:cs="Arial"/>
        </w:rPr>
      </w:pPr>
      <w:r>
        <w:rPr>
          <w:rtl w:val="0"/>
        </w:rPr>
        <w:t xml:space="preserve">Authorized dealer status</w:t>
      </w:r>
      <w:r>
        <w:rPr>
          <w:rFonts w:ascii="Arial" w:hAnsi="Arial" w:eastAsia="Arial" w:cs="Arial"/>
        </w:rPr>
      </w:r>
      <w:r>
        <w:rPr>
          <w:rFonts w:ascii="Arial" w:hAnsi="Arial" w:eastAsia="Arial" w:cs="Arial"/>
        </w:rPr>
      </w:r>
    </w:p>
    <w:p w14:paraId="000001BB">
      <w:pPr>
        <w:numPr>
          <w:ilvl w:val="0"/>
          <w:numId w:val="7"/>
        </w:numPr>
        <w:pBdr/>
        <w:spacing w:line="276" w:lineRule="auto"/>
        <w:ind w:hanging="360" w:left="1440"/>
        <w:jc w:val="both"/>
        <w:rPr>
          <w:rFonts w:ascii="Arial" w:hAnsi="Arial" w:eastAsia="Arial" w:cs="Arial"/>
        </w:rPr>
      </w:pPr>
      <w:r>
        <w:rPr>
          <w:rtl w:val="0"/>
        </w:rPr>
        <w:t xml:space="preserve">the Supplier must be an authorized dealer or official distributor of the proposed equipment / medical devices;</w:t>
      </w:r>
      <w:r>
        <w:rPr>
          <w:rFonts w:ascii="Arial" w:hAnsi="Arial" w:eastAsia="Arial" w:cs="Arial"/>
        </w:rPr>
      </w:r>
      <w:r>
        <w:rPr>
          <w:rFonts w:ascii="Arial" w:hAnsi="Arial" w:eastAsia="Arial" w:cs="Arial"/>
        </w:rPr>
      </w:r>
    </w:p>
    <w:p w14:paraId="000001BC">
      <w:pPr>
        <w:numPr>
          <w:ilvl w:val="0"/>
          <w:numId w:val="7"/>
        </w:numPr>
        <w:pBdr/>
        <w:spacing w:line="276" w:lineRule="auto"/>
        <w:ind w:hanging="360" w:left="1440"/>
        <w:jc w:val="both"/>
        <w:rPr>
          <w:rFonts w:ascii="Arial" w:hAnsi="Arial" w:eastAsia="Arial" w:cs="Arial"/>
        </w:rPr>
      </w:pPr>
      <w:r>
        <w:rPr>
          <w:rtl w:val="0"/>
        </w:rPr>
        <w:t xml:space="preserve">this must be confirmed through official documentation issued by the manufacturer.</w:t>
      </w:r>
      <w:r>
        <w:rPr>
          <w:rFonts w:ascii="Arial" w:hAnsi="Arial" w:eastAsia="Arial" w:cs="Arial"/>
        </w:rPr>
      </w:r>
      <w:r>
        <w:rPr>
          <w:rFonts w:ascii="Arial" w:hAnsi="Arial" w:eastAsia="Arial" w:cs="Arial"/>
        </w:rPr>
      </w:r>
    </w:p>
    <w:p w14:paraId="000001BD">
      <w:pPr>
        <w:numPr>
          <w:ilvl w:val="0"/>
          <w:numId w:val="6"/>
        </w:numPr>
        <w:pBdr/>
        <w:spacing w:line="276" w:lineRule="auto"/>
        <w:ind w:hanging="360" w:left="720"/>
        <w:jc w:val="both"/>
        <w:rPr>
          <w:rFonts w:ascii="Arial" w:hAnsi="Arial" w:eastAsia="Arial" w:cs="Arial"/>
        </w:rPr>
      </w:pPr>
      <w:r>
        <w:rPr>
          <w:rtl w:val="0"/>
        </w:rPr>
        <w:t xml:space="preserve">Service and maintenance capacity</w:t>
      </w:r>
      <w:r>
        <w:rPr>
          <w:rFonts w:ascii="Arial" w:hAnsi="Arial" w:eastAsia="Arial" w:cs="Arial"/>
        </w:rPr>
      </w:r>
      <w:r>
        <w:rPr>
          <w:rFonts w:ascii="Arial" w:hAnsi="Arial" w:eastAsia="Arial" w:cs="Arial"/>
        </w:rPr>
      </w:r>
    </w:p>
    <w:p w14:paraId="000001BE">
      <w:pPr>
        <w:numPr>
          <w:ilvl w:val="1"/>
          <w:numId w:val="6"/>
        </w:numPr>
        <w:pBdr/>
        <w:spacing w:line="276" w:lineRule="auto"/>
        <w:ind w:hanging="360" w:left="1440"/>
        <w:jc w:val="both"/>
        <w:rPr>
          <w:rFonts w:ascii="Arial" w:hAnsi="Arial" w:eastAsia="Arial" w:cs="Arial"/>
        </w:rPr>
      </w:pPr>
      <w:r>
        <w:rPr>
          <w:rtl w:val="0"/>
        </w:rPr>
        <w:t xml:space="preserve">the Supplier must ensure access to authorized service centers across Ukraine for all proposed equipment;</w:t>
      </w:r>
      <w:r>
        <w:rPr>
          <w:rFonts w:ascii="Arial" w:hAnsi="Arial" w:eastAsia="Arial" w:cs="Arial"/>
        </w:rPr>
      </w:r>
      <w:r>
        <w:rPr>
          <w:rFonts w:ascii="Arial" w:hAnsi="Arial" w:eastAsia="Arial" w:cs="Arial"/>
        </w:rPr>
      </w:r>
    </w:p>
    <w:p w14:paraId="000001BF">
      <w:pPr>
        <w:numPr>
          <w:ilvl w:val="1"/>
          <w:numId w:val="6"/>
        </w:numPr>
        <w:pBdr/>
        <w:spacing w:line="276" w:lineRule="auto"/>
        <w:ind w:hanging="360" w:left="1440"/>
        <w:jc w:val="both"/>
        <w:rPr>
          <w:rFonts w:ascii="Arial" w:hAnsi="Arial" w:eastAsia="Arial" w:cs="Arial"/>
        </w:rPr>
      </w:pPr>
      <w:r>
        <w:rPr>
          <w:rtl w:val="0"/>
        </w:rPr>
        <w:t xml:space="preserve">a list of the nearest authorized service centers must be provided;</w:t>
      </w:r>
      <w:r>
        <w:rPr>
          <w:rFonts w:ascii="Arial" w:hAnsi="Arial" w:eastAsia="Arial" w:cs="Arial"/>
        </w:rPr>
      </w:r>
      <w:r>
        <w:rPr>
          <w:rFonts w:ascii="Arial" w:hAnsi="Arial" w:eastAsia="Arial" w:cs="Arial"/>
        </w:rPr>
      </w:r>
    </w:p>
    <w:p w14:paraId="000001C0">
      <w:pPr>
        <w:numPr>
          <w:ilvl w:val="1"/>
          <w:numId w:val="6"/>
        </w:numPr>
        <w:pBdr/>
        <w:spacing w:line="276" w:lineRule="auto"/>
        <w:ind w:hanging="360" w:left="1440"/>
        <w:jc w:val="both"/>
        <w:rPr>
          <w:rFonts w:ascii="Arial" w:hAnsi="Arial" w:eastAsia="Arial" w:cs="Arial"/>
        </w:rPr>
      </w:pPr>
      <w:r>
        <w:rPr>
          <w:rtl w:val="0"/>
        </w:rPr>
        <w:t xml:space="preserve">the Supplier must guarantee the availability of spare parts throughout the entire warranty period.</w:t>
      </w:r>
      <w:r>
        <w:rPr>
          <w:rFonts w:ascii="Arial" w:hAnsi="Arial" w:eastAsia="Arial" w:cs="Arial"/>
        </w:rPr>
      </w:r>
      <w:r>
        <w:rPr>
          <w:rFonts w:ascii="Arial" w:hAnsi="Arial" w:eastAsia="Arial" w:cs="Arial"/>
        </w:rPr>
      </w:r>
    </w:p>
    <w:p w14:paraId="000001C1">
      <w:pPr>
        <w:numPr>
          <w:ilvl w:val="0"/>
          <w:numId w:val="6"/>
        </w:numPr>
        <w:pBdr/>
        <w:spacing w:line="276" w:lineRule="auto"/>
        <w:ind w:hanging="360" w:left="720"/>
        <w:jc w:val="both"/>
        <w:rPr>
          <w:rFonts w:ascii="Arial" w:hAnsi="Arial" w:eastAsia="Arial" w:cs="Arial"/>
        </w:rPr>
      </w:pPr>
      <w:r>
        <w:rPr>
          <w:rtl w:val="0"/>
        </w:rPr>
        <w:t xml:space="preserve">Delivery, installation, and entry into service</w:t>
      </w:r>
      <w:r>
        <w:rPr>
          <w:rFonts w:ascii="Arial" w:hAnsi="Arial" w:eastAsia="Arial" w:cs="Arial"/>
        </w:rPr>
      </w:r>
      <w:r>
        <w:rPr>
          <w:rFonts w:ascii="Arial" w:hAnsi="Arial" w:eastAsia="Arial" w:cs="Arial"/>
        </w:rPr>
      </w:r>
    </w:p>
    <w:p w14:paraId="000001C2">
      <w:pPr>
        <w:numPr>
          <w:ilvl w:val="1"/>
          <w:numId w:val="6"/>
        </w:numPr>
        <w:pBdr/>
        <w:spacing w:line="276" w:lineRule="auto"/>
        <w:ind w:hanging="360" w:left="1440"/>
        <w:jc w:val="both"/>
        <w:rPr>
          <w:rFonts w:ascii="Arial" w:hAnsi="Arial" w:eastAsia="Arial" w:cs="Arial"/>
        </w:rPr>
      </w:pPr>
      <w:r>
        <w:rPr>
          <w:rtl w:val="0"/>
        </w:rPr>
        <w:t xml:space="preserve">the Supplier must provide delivery of all equipment to Odesa Municipal Hospital №1;</w:t>
      </w:r>
      <w:r>
        <w:rPr>
          <w:rFonts w:ascii="Arial" w:hAnsi="Arial" w:eastAsia="Arial" w:cs="Arial"/>
        </w:rPr>
      </w:r>
      <w:r>
        <w:rPr>
          <w:rFonts w:ascii="Arial" w:hAnsi="Arial" w:eastAsia="Arial" w:cs="Arial"/>
        </w:rPr>
      </w:r>
    </w:p>
    <w:p w14:paraId="000001C3">
      <w:pPr>
        <w:numPr>
          <w:ilvl w:val="1"/>
          <w:numId w:val="6"/>
        </w:numPr>
        <w:pBdr/>
        <w:spacing w:line="276" w:lineRule="auto"/>
        <w:ind w:hanging="360" w:left="1440"/>
        <w:jc w:val="both"/>
        <w:rPr>
          <w:rFonts w:ascii="Arial" w:hAnsi="Arial" w:eastAsia="Arial" w:cs="Arial"/>
        </w:rPr>
      </w:pPr>
      <w:r>
        <w:rPr>
          <w:rtl w:val="0"/>
        </w:rPr>
        <w:t xml:space="preserve">the Supplier must provide installation, setup, and entry into service of all equipment by qualified technicians (where applicable);</w:t>
      </w:r>
      <w:r>
        <w:rPr>
          <w:rFonts w:ascii="Arial" w:hAnsi="Arial" w:eastAsia="Arial" w:cs="Arial"/>
        </w:rPr>
      </w:r>
      <w:r>
        <w:rPr>
          <w:rFonts w:ascii="Arial" w:hAnsi="Arial" w:eastAsia="Arial" w:cs="Arial"/>
        </w:rPr>
      </w:r>
    </w:p>
    <w:p w14:paraId="000001C4">
      <w:pPr>
        <w:numPr>
          <w:ilvl w:val="1"/>
          <w:numId w:val="6"/>
        </w:numPr>
        <w:pBdr/>
        <w:spacing w:line="276" w:lineRule="auto"/>
        <w:ind w:hanging="360" w:left="1440"/>
        <w:jc w:val="both"/>
        <w:rPr>
          <w:rFonts w:ascii="Arial" w:hAnsi="Arial" w:eastAsia="Arial" w:cs="Arial"/>
        </w:rPr>
      </w:pPr>
      <w:r>
        <w:rPr>
          <w:rtl w:val="0"/>
        </w:rPr>
        <w:t xml:space="preserve">the Supplier must provide user training (where applicable). </w:t>
      </w:r>
      <w:r>
        <w:rPr>
          <w:rFonts w:ascii="Arial" w:hAnsi="Arial" w:eastAsia="Arial" w:cs="Arial"/>
        </w:rPr>
      </w:r>
      <w:r>
        <w:rPr>
          <w:rFonts w:ascii="Arial" w:hAnsi="Arial" w:eastAsia="Arial" w:cs="Arial"/>
        </w:rPr>
      </w:r>
    </w:p>
    <w:p w14:paraId="000001C5">
      <w:pPr>
        <w:numPr>
          <w:ilvl w:val="0"/>
          <w:numId w:val="6"/>
        </w:numPr>
        <w:pBdr/>
        <w:spacing w:line="276" w:lineRule="auto"/>
        <w:ind w:hanging="360" w:left="720"/>
        <w:jc w:val="both"/>
        <w:rPr>
          <w:rFonts w:ascii="Arial" w:hAnsi="Arial" w:eastAsia="Arial" w:cs="Arial"/>
        </w:rPr>
      </w:pPr>
      <w:r>
        <w:rPr>
          <w:rtl w:val="0"/>
        </w:rPr>
        <w:t xml:space="preserve">Warranty</w:t>
      </w:r>
      <w:r>
        <w:rPr>
          <w:rFonts w:ascii="Arial" w:hAnsi="Arial" w:eastAsia="Arial" w:cs="Arial"/>
        </w:rPr>
      </w:r>
      <w:r>
        <w:rPr>
          <w:rFonts w:ascii="Arial" w:hAnsi="Arial" w:eastAsia="Arial" w:cs="Arial"/>
        </w:rPr>
      </w:r>
    </w:p>
    <w:p w14:paraId="000001C6">
      <w:pPr>
        <w:numPr>
          <w:ilvl w:val="1"/>
          <w:numId w:val="6"/>
        </w:numPr>
        <w:pBdr/>
        <w:spacing w:line="276" w:lineRule="auto"/>
        <w:ind w:hanging="360" w:left="1440"/>
        <w:jc w:val="both"/>
        <w:rPr>
          <w:rFonts w:ascii="Arial" w:hAnsi="Arial" w:eastAsia="Arial" w:cs="Arial"/>
        </w:rPr>
      </w:pPr>
      <w:r>
        <w:rPr>
          <w:rtl w:val="0"/>
        </w:rPr>
        <w:t xml:space="preserve">all supplied items must be covered by a minimum warranty of twelve (12) months, or longer where required by the technical nature of the equipment;</w:t>
      </w:r>
      <w:r>
        <w:rPr>
          <w:rFonts w:ascii="Arial" w:hAnsi="Arial" w:eastAsia="Arial" w:cs="Arial"/>
        </w:rPr>
      </w:r>
      <w:r>
        <w:rPr>
          <w:rFonts w:ascii="Arial" w:hAnsi="Arial" w:eastAsia="Arial" w:cs="Arial"/>
        </w:rPr>
      </w:r>
    </w:p>
    <w:p w14:paraId="000001C7">
      <w:pPr>
        <w:numPr>
          <w:ilvl w:val="1"/>
          <w:numId w:val="6"/>
        </w:numPr>
        <w:pBdr/>
        <w:spacing w:line="276" w:lineRule="auto"/>
        <w:ind w:hanging="360" w:left="1440"/>
        <w:jc w:val="both"/>
        <w:rPr>
          <w:rFonts w:ascii="Arial" w:hAnsi="Arial" w:eastAsia="Arial" w:cs="Arial"/>
        </w:rPr>
      </w:pPr>
      <w:r>
        <w:rPr>
          <w:rtl w:val="0"/>
        </w:rPr>
        <w:t xml:space="preserve">the warranty must include free-of-charge repairs, spare parts, and maintenance throughout the warranty period, including on-site component replacement or service center repairs for issues not caused by the client.</w:t>
      </w:r>
      <w:r>
        <w:rPr>
          <w:rFonts w:ascii="Arial" w:hAnsi="Arial" w:eastAsia="Arial" w:cs="Arial"/>
        </w:rPr>
      </w:r>
      <w:r>
        <w:rPr>
          <w:rFonts w:ascii="Arial" w:hAnsi="Arial" w:eastAsia="Arial" w:cs="Arial"/>
        </w:rPr>
      </w:r>
    </w:p>
    <w:p w14:paraId="000001C8">
      <w:pPr>
        <w:numPr>
          <w:ilvl w:val="0"/>
          <w:numId w:val="6"/>
        </w:numPr>
        <w:pBdr/>
        <w:spacing w:line="276" w:lineRule="auto"/>
        <w:ind w:hanging="360" w:left="720"/>
        <w:jc w:val="both"/>
        <w:rPr>
          <w:rFonts w:ascii="Arial" w:hAnsi="Arial" w:eastAsia="Arial" w:cs="Arial"/>
        </w:rPr>
      </w:pPr>
      <w:r>
        <w:rPr>
          <w:rtl w:val="0"/>
        </w:rPr>
        <w:t xml:space="preserve">Certification and compliance</w:t>
      </w:r>
      <w:r>
        <w:rPr>
          <w:rFonts w:ascii="Arial" w:hAnsi="Arial" w:eastAsia="Arial" w:cs="Arial"/>
        </w:rPr>
      </w:r>
      <w:r>
        <w:rPr>
          <w:rFonts w:ascii="Arial" w:hAnsi="Arial" w:eastAsia="Arial" w:cs="Arial"/>
        </w:rPr>
      </w:r>
    </w:p>
    <w:p w14:paraId="000001C9">
      <w:pPr>
        <w:numPr>
          <w:ilvl w:val="1"/>
          <w:numId w:val="6"/>
        </w:numPr>
        <w:pBdr/>
        <w:spacing w:line="276" w:lineRule="auto"/>
        <w:ind w:hanging="360" w:left="1440"/>
        <w:jc w:val="both"/>
        <w:rPr>
          <w:rFonts w:ascii="Arial" w:hAnsi="Arial" w:eastAsia="Arial" w:cs="Arial"/>
        </w:rPr>
      </w:pPr>
      <w:r>
        <w:rPr>
          <w:rtl w:val="0"/>
        </w:rPr>
        <w:t xml:space="preserve">all proposed rehabilitation equipment must be officially certified in Ukraine and comply with relevant national regulatory standards;</w:t>
      </w:r>
      <w:r>
        <w:rPr>
          <w:rFonts w:ascii="Arial" w:hAnsi="Arial" w:eastAsia="Arial" w:cs="Arial"/>
        </w:rPr>
      </w:r>
      <w:r>
        <w:rPr>
          <w:rFonts w:ascii="Arial" w:hAnsi="Arial" w:eastAsia="Arial" w:cs="Arial"/>
        </w:rPr>
      </w:r>
    </w:p>
    <w:p w14:paraId="000001CA">
      <w:pPr>
        <w:numPr>
          <w:ilvl w:val="1"/>
          <w:numId w:val="6"/>
        </w:numPr>
        <w:pBdr/>
        <w:spacing w:line="276" w:lineRule="auto"/>
        <w:ind w:hanging="360" w:left="1440"/>
        <w:jc w:val="both"/>
        <w:rPr>
          <w:rFonts w:ascii="Arial" w:hAnsi="Arial" w:eastAsia="Arial" w:cs="Arial"/>
        </w:rPr>
      </w:pPr>
      <w:r>
        <w:rPr>
          <w:rtl w:val="0"/>
        </w:rPr>
        <w:t xml:space="preserve">copies of all relevant certificates, registrations, manufacturer licenses, and Ukrainian conformity documents must be included in the tender package, when submitting;</w:t>
      </w:r>
      <w:r>
        <w:rPr>
          <w:rFonts w:ascii="Arial" w:hAnsi="Arial" w:eastAsia="Arial" w:cs="Arial"/>
        </w:rPr>
      </w:r>
      <w:r>
        <w:rPr>
          <w:rFonts w:ascii="Arial" w:hAnsi="Arial" w:eastAsia="Arial" w:cs="Arial"/>
        </w:rPr>
      </w:r>
    </w:p>
    <w:p w14:paraId="000001CB">
      <w:pPr>
        <w:numPr>
          <w:ilvl w:val="1"/>
          <w:numId w:val="6"/>
        </w:numPr>
        <w:pBdr/>
        <w:spacing w:line="276" w:lineRule="auto"/>
        <w:ind w:hanging="360" w:left="1440"/>
        <w:jc w:val="both"/>
        <w:rPr>
          <w:rFonts w:ascii="Arial" w:hAnsi="Arial" w:eastAsia="Arial" w:cs="Arial"/>
        </w:rPr>
      </w:pPr>
      <w:r>
        <w:rPr>
          <w:rtl w:val="0"/>
        </w:rPr>
        <w:t xml:space="preserve">if the medical device is placed on the market in accordance with the requirements of the Technical Regulation on Medical Devices or hold proof of market authorization in countries with a stringent regulatory system (USA, </w:t>
      </w:r>
      <w:r>
        <w:rPr>
          <w:rtl w:val="0"/>
        </w:rPr>
        <w:t xml:space="preserve">EU member states, Canada, Japan, Australia, Switzerland, Norway, Iceland, Liechtenstein), the bidder shall provide valid documentation demonstrating compliance with the requirement, appropriate to the product’s safety class, including one of the following:</w:t>
      </w:r>
      <w:r>
        <w:rPr>
          <w:rFonts w:ascii="Arial" w:hAnsi="Arial" w:eastAsia="Arial" w:cs="Arial"/>
        </w:rPr>
      </w:r>
      <w:r>
        <w:rPr>
          <w:rFonts w:ascii="Arial" w:hAnsi="Arial" w:eastAsia="Arial" w:cs="Arial"/>
        </w:rPr>
      </w:r>
    </w:p>
    <w:p w14:paraId="000001CC">
      <w:pPr>
        <w:numPr>
          <w:ilvl w:val="0"/>
          <w:numId w:val="14"/>
        </w:numPr>
        <w:pBdr/>
        <w:spacing w:line="276" w:lineRule="auto"/>
        <w:ind w:hanging="360" w:left="2160"/>
        <w:jc w:val="both"/>
        <w:rPr>
          <w:rFonts w:ascii="Arial" w:hAnsi="Arial" w:eastAsia="Arial" w:cs="Arial"/>
        </w:rPr>
      </w:pPr>
      <w:r>
        <w:rPr>
          <w:rtl w:val="0"/>
        </w:rPr>
        <w:t xml:space="preserve">Declaration of Conformity or Certificate of Conformity; or </w:t>
      </w:r>
      <w:r>
        <w:rPr>
          <w:rFonts w:ascii="Arial" w:hAnsi="Arial" w:eastAsia="Arial" w:cs="Arial"/>
        </w:rPr>
      </w:r>
      <w:r>
        <w:rPr>
          <w:rFonts w:ascii="Arial" w:hAnsi="Arial" w:eastAsia="Arial" w:cs="Arial"/>
        </w:rPr>
      </w:r>
    </w:p>
    <w:p w14:paraId="000001CD">
      <w:pPr>
        <w:numPr>
          <w:ilvl w:val="0"/>
          <w:numId w:val="14"/>
        </w:numPr>
        <w:pBdr/>
        <w:spacing w:line="276" w:lineRule="auto"/>
        <w:ind w:hanging="360" w:left="2160"/>
        <w:jc w:val="both"/>
        <w:rPr>
          <w:rFonts w:ascii="Arial" w:hAnsi="Arial" w:eastAsia="Arial" w:cs="Arial"/>
        </w:rPr>
      </w:pPr>
      <w:r>
        <w:rPr>
          <w:rtl w:val="0"/>
        </w:rPr>
        <w:t xml:space="preserve">MDR (EU 2017/745) certificate or CE marking for Class I/IIa devices; or </w:t>
      </w:r>
      <w:r>
        <w:rPr>
          <w:rFonts w:ascii="Arial" w:hAnsi="Arial" w:eastAsia="Arial" w:cs="Arial"/>
        </w:rPr>
      </w:r>
      <w:r>
        <w:rPr>
          <w:rFonts w:ascii="Arial" w:hAnsi="Arial" w:eastAsia="Arial" w:cs="Arial"/>
        </w:rPr>
      </w:r>
    </w:p>
    <w:p w14:paraId="000001CE">
      <w:pPr>
        <w:numPr>
          <w:ilvl w:val="0"/>
          <w:numId w:val="14"/>
        </w:numPr>
        <w:pBdr/>
        <w:spacing w:line="276" w:lineRule="auto"/>
        <w:ind w:hanging="360" w:left="2160"/>
        <w:jc w:val="both"/>
        <w:rPr>
          <w:rFonts w:ascii="Arial" w:hAnsi="Arial" w:eastAsia="Arial" w:cs="Arial"/>
        </w:rPr>
      </w:pPr>
      <w:r>
        <w:rPr>
          <w:rtl w:val="0"/>
        </w:rPr>
        <w:t xml:space="preserve">Any other equivalent document recognized by the regulatory authority.</w:t>
      </w:r>
      <w:r>
        <w:rPr>
          <w:rFonts w:ascii="Arial" w:hAnsi="Arial" w:eastAsia="Arial" w:cs="Arial"/>
        </w:rPr>
      </w:r>
      <w:r>
        <w:rPr>
          <w:rFonts w:ascii="Arial" w:hAnsi="Arial" w:eastAsia="Arial" w:cs="Arial"/>
        </w:rPr>
      </w:r>
    </w:p>
    <w:p w14:paraId="000001CF">
      <w:pPr>
        <w:pBdr/>
        <w:spacing w:line="276" w:lineRule="auto"/>
        <w:ind/>
        <w:jc w:val="both"/>
        <w:rPr/>
      </w:pPr>
      <w:r>
        <w:rPr>
          <w:rtl w:val="0"/>
        </w:rPr>
      </w:r>
      <w:r/>
    </w:p>
    <w:p w14:paraId="000001D0">
      <w:pPr>
        <w:pBdr/>
        <w:spacing w:line="276" w:lineRule="auto"/>
        <w:ind/>
        <w:rPr/>
      </w:pPr>
      <w:r>
        <w:rPr>
          <w:u w:val="single"/>
          <w:rtl w:val="0"/>
        </w:rPr>
        <w:t xml:space="preserve">Requirements for the Proposal</w:t>
      </w:r>
      <w:r>
        <w:rPr>
          <w:rtl w:val="0"/>
        </w:rPr>
      </w:r>
      <w:r/>
    </w:p>
    <w:p w14:paraId="000001D1">
      <w:pPr>
        <w:pBdr/>
        <w:spacing w:line="276" w:lineRule="auto"/>
        <w:ind/>
        <w:rPr/>
      </w:pPr>
      <w:r>
        <w:rPr>
          <w:rtl w:val="0"/>
        </w:rPr>
        <w:t xml:space="preserve">All proposals submitted by Suppliers must include the following:</w:t>
      </w:r>
      <w:r/>
    </w:p>
    <w:p w14:paraId="000001D2">
      <w:pPr>
        <w:numPr>
          <w:ilvl w:val="0"/>
          <w:numId w:val="8"/>
        </w:numPr>
        <w:pBdr/>
        <w:spacing w:line="276" w:lineRule="auto"/>
        <w:ind w:hanging="360" w:left="720"/>
        <w:rPr>
          <w:rFonts w:ascii="Arial" w:hAnsi="Arial" w:eastAsia="Arial" w:cs="Arial"/>
        </w:rPr>
      </w:pPr>
      <w:r>
        <w:rPr>
          <w:rtl w:val="0"/>
        </w:rPr>
        <w:t xml:space="preserve">Detailed technical specifications: complete technical specifications for each item, including:</w:t>
      </w:r>
      <w:r>
        <w:rPr>
          <w:rFonts w:ascii="Arial" w:hAnsi="Arial" w:eastAsia="Arial" w:cs="Arial"/>
        </w:rPr>
      </w:r>
      <w:r>
        <w:rPr>
          <w:rFonts w:ascii="Arial" w:hAnsi="Arial" w:eastAsia="Arial" w:cs="Arial"/>
        </w:rPr>
      </w:r>
    </w:p>
    <w:p w14:paraId="000001D3">
      <w:pPr>
        <w:numPr>
          <w:ilvl w:val="0"/>
          <w:numId w:val="9"/>
        </w:numPr>
        <w:pBdr/>
        <w:spacing w:line="276" w:lineRule="auto"/>
        <w:ind w:hanging="360" w:left="1440"/>
        <w:rPr>
          <w:rFonts w:ascii="Arial" w:hAnsi="Arial" w:eastAsia="Arial" w:cs="Arial"/>
        </w:rPr>
      </w:pPr>
      <w:r>
        <w:rPr>
          <w:rtl w:val="0"/>
        </w:rPr>
        <w:t xml:space="preserve">Item description;</w:t>
      </w:r>
      <w:r>
        <w:rPr>
          <w:rFonts w:ascii="Arial" w:hAnsi="Arial" w:eastAsia="Arial" w:cs="Arial"/>
        </w:rPr>
      </w:r>
      <w:r>
        <w:rPr>
          <w:rFonts w:ascii="Arial" w:hAnsi="Arial" w:eastAsia="Arial" w:cs="Arial"/>
        </w:rPr>
      </w:r>
    </w:p>
    <w:p w14:paraId="000001D4">
      <w:pPr>
        <w:numPr>
          <w:ilvl w:val="0"/>
          <w:numId w:val="9"/>
        </w:numPr>
        <w:pBdr/>
        <w:spacing w:line="276" w:lineRule="auto"/>
        <w:ind w:hanging="360" w:left="1440"/>
        <w:rPr>
          <w:rFonts w:ascii="Arial" w:hAnsi="Arial" w:eastAsia="Arial" w:cs="Arial"/>
        </w:rPr>
      </w:pPr>
      <w:r>
        <w:rPr>
          <w:rtl w:val="0"/>
        </w:rPr>
        <w:t xml:space="preserve">Model and manufacturer;</w:t>
      </w:r>
      <w:r>
        <w:rPr>
          <w:rFonts w:ascii="Arial" w:hAnsi="Arial" w:eastAsia="Arial" w:cs="Arial"/>
        </w:rPr>
      </w:r>
      <w:r>
        <w:rPr>
          <w:rFonts w:ascii="Arial" w:hAnsi="Arial" w:eastAsia="Arial" w:cs="Arial"/>
        </w:rPr>
      </w:r>
    </w:p>
    <w:p w14:paraId="000001D5">
      <w:pPr>
        <w:numPr>
          <w:ilvl w:val="0"/>
          <w:numId w:val="9"/>
        </w:numPr>
        <w:pBdr/>
        <w:spacing w:line="276" w:lineRule="auto"/>
        <w:ind w:hanging="360" w:left="1440"/>
        <w:rPr>
          <w:rFonts w:ascii="Arial" w:hAnsi="Arial" w:eastAsia="Arial" w:cs="Arial"/>
        </w:rPr>
      </w:pPr>
      <w:r>
        <w:rPr>
          <w:rtl w:val="0"/>
        </w:rPr>
        <w:t xml:space="preserve">Country of origin;</w:t>
      </w:r>
      <w:r>
        <w:rPr>
          <w:rFonts w:ascii="Arial" w:hAnsi="Arial" w:eastAsia="Arial" w:cs="Arial"/>
        </w:rPr>
      </w:r>
      <w:r>
        <w:rPr>
          <w:rFonts w:ascii="Arial" w:hAnsi="Arial" w:eastAsia="Arial" w:cs="Arial"/>
        </w:rPr>
      </w:r>
    </w:p>
    <w:p w14:paraId="000001D6">
      <w:pPr>
        <w:numPr>
          <w:ilvl w:val="0"/>
          <w:numId w:val="9"/>
        </w:numPr>
        <w:pBdr/>
        <w:spacing w:line="276" w:lineRule="auto"/>
        <w:ind w:hanging="360" w:left="1440"/>
        <w:rPr>
          <w:rFonts w:ascii="Arial" w:hAnsi="Arial" w:eastAsia="Arial" w:cs="Arial"/>
        </w:rPr>
      </w:pPr>
      <w:r>
        <w:rPr>
          <w:rtl w:val="0"/>
        </w:rPr>
        <w:t xml:space="preserve">Functional characteristics;</w:t>
      </w:r>
      <w:r>
        <w:rPr>
          <w:rFonts w:ascii="Arial" w:hAnsi="Arial" w:eastAsia="Arial" w:cs="Arial"/>
        </w:rPr>
      </w:r>
      <w:r>
        <w:rPr>
          <w:rFonts w:ascii="Arial" w:hAnsi="Arial" w:eastAsia="Arial" w:cs="Arial"/>
        </w:rPr>
      </w:r>
    </w:p>
    <w:p w14:paraId="000001D7">
      <w:pPr>
        <w:numPr>
          <w:ilvl w:val="0"/>
          <w:numId w:val="9"/>
        </w:numPr>
        <w:pBdr/>
        <w:spacing w:line="276" w:lineRule="auto"/>
        <w:ind w:hanging="360" w:left="1440"/>
        <w:rPr>
          <w:rFonts w:ascii="Arial" w:hAnsi="Arial" w:eastAsia="Arial" w:cs="Arial"/>
        </w:rPr>
      </w:pPr>
      <w:r>
        <w:rPr>
          <w:rtl w:val="0"/>
        </w:rPr>
        <w:t xml:space="preserve">Operating conditions;</w:t>
      </w:r>
      <w:r>
        <w:rPr>
          <w:rFonts w:ascii="Arial" w:hAnsi="Arial" w:eastAsia="Arial" w:cs="Arial"/>
        </w:rPr>
      </w:r>
      <w:r>
        <w:rPr>
          <w:rFonts w:ascii="Arial" w:hAnsi="Arial" w:eastAsia="Arial" w:cs="Arial"/>
        </w:rPr>
      </w:r>
    </w:p>
    <w:p w14:paraId="000001D8">
      <w:pPr>
        <w:numPr>
          <w:ilvl w:val="0"/>
          <w:numId w:val="9"/>
        </w:numPr>
        <w:pBdr/>
        <w:spacing w:line="276" w:lineRule="auto"/>
        <w:ind w:hanging="360" w:left="1440"/>
        <w:rPr>
          <w:rFonts w:ascii="Arial" w:hAnsi="Arial" w:eastAsia="Arial" w:cs="Arial"/>
        </w:rPr>
      </w:pPr>
      <w:r>
        <w:rPr>
          <w:rtl w:val="0"/>
        </w:rPr>
        <w:t xml:space="preserve">Any additional accessories or components included.</w:t>
      </w:r>
      <w:r>
        <w:rPr>
          <w:rFonts w:ascii="Arial" w:hAnsi="Arial" w:eastAsia="Arial" w:cs="Arial"/>
        </w:rPr>
      </w:r>
      <w:r>
        <w:rPr>
          <w:rFonts w:ascii="Arial" w:hAnsi="Arial" w:eastAsia="Arial" w:cs="Arial"/>
        </w:rPr>
      </w:r>
    </w:p>
    <w:p w14:paraId="000001D9">
      <w:pPr>
        <w:numPr>
          <w:ilvl w:val="0"/>
          <w:numId w:val="8"/>
        </w:numPr>
        <w:pBdr/>
        <w:spacing w:line="276" w:lineRule="auto"/>
        <w:ind w:hanging="360" w:left="720"/>
        <w:jc w:val="both"/>
        <w:rPr>
          <w:rFonts w:ascii="Arial" w:hAnsi="Arial" w:eastAsia="Arial" w:cs="Arial"/>
        </w:rPr>
      </w:pPr>
      <w:r>
        <w:rPr>
          <w:rtl w:val="0"/>
        </w:rPr>
        <w:t xml:space="preserve">The product must be new and unused, manufactured no earlier than January 1, 2025 (supporting document – warranty certificate).</w:t>
      </w:r>
      <w:r>
        <w:rPr>
          <w:rFonts w:ascii="Arial" w:hAnsi="Arial" w:eastAsia="Arial" w:cs="Arial"/>
        </w:rPr>
      </w:r>
      <w:r>
        <w:rPr>
          <w:rFonts w:ascii="Arial" w:hAnsi="Arial" w:eastAsia="Arial" w:cs="Arial"/>
        </w:rPr>
      </w:r>
    </w:p>
    <w:p w14:paraId="000001DA">
      <w:pPr>
        <w:numPr>
          <w:ilvl w:val="0"/>
          <w:numId w:val="8"/>
        </w:numPr>
        <w:pBdr/>
        <w:spacing w:line="276" w:lineRule="auto"/>
        <w:ind w:hanging="360" w:left="720"/>
        <w:jc w:val="both"/>
        <w:rPr>
          <w:rFonts w:ascii="Arial" w:hAnsi="Arial" w:eastAsia="Arial" w:cs="Arial"/>
        </w:rPr>
      </w:pPr>
      <w:r>
        <w:rPr>
          <w:rtl w:val="0"/>
        </w:rPr>
        <w:t xml:space="preserve">The product packaging must ensure the preservation of the product’s quality and integrity. The packaging and labeling must comply with the requirements of Ukrainian law (supporting document – warranty certificate).</w:t>
      </w:r>
      <w:r>
        <w:rPr>
          <w:rFonts w:ascii="Arial" w:hAnsi="Arial" w:eastAsia="Arial" w:cs="Arial"/>
        </w:rPr>
      </w:r>
      <w:r>
        <w:rPr>
          <w:rFonts w:ascii="Arial" w:hAnsi="Arial" w:eastAsia="Arial" w:cs="Arial"/>
        </w:rPr>
      </w:r>
    </w:p>
    <w:p w14:paraId="000001DB">
      <w:pPr>
        <w:numPr>
          <w:ilvl w:val="0"/>
          <w:numId w:val="8"/>
        </w:numPr>
        <w:pBdr/>
        <w:spacing w:line="276" w:lineRule="auto"/>
        <w:ind w:hanging="360" w:left="720"/>
        <w:jc w:val="both"/>
        <w:rPr>
          <w:rFonts w:ascii="Arial" w:hAnsi="Arial" w:eastAsia="Arial" w:cs="Arial"/>
        </w:rPr>
      </w:pPr>
      <w:r>
        <w:rPr>
          <w:rtl w:val="0"/>
        </w:rPr>
        <w:t xml:space="preserve">The Supplier must provide valid certificates</w:t>
      </w:r>
      <w:r>
        <w:rPr>
          <w:rtl w:val="0"/>
        </w:rPr>
        <w:t xml:space="preserve"> and declarations of conformity demonstrating that the offered medical devices comply with relevant international standards, including but not limited to ISO 13485 (Quality Management System for Medical Devices), ISO 14971 (Risk Management for Medical Devi</w:t>
      </w:r>
      <w:r>
        <w:rPr>
          <w:rtl w:val="0"/>
        </w:rPr>
        <w:t xml:space="preserve">ces), ISO 20957-6:2021 (Non-Medical Equipment), IEC 60601 (Electrical Safety for Medical Devices, where applicable), IEC 60601-1 (Basic Safety and Essential Performance of Medical Electrical Equipment), IEC 60601-1-2 (Electromagnetic Compatibility), IEC 62</w:t>
      </w:r>
      <w:r>
        <w:rPr>
          <w:rtl w:val="0"/>
        </w:rPr>
        <w:t xml:space="preserve">366-1 or related IEC 60601-1-6 (Usability and Human Factors for Medical Devices), as applicable to the specific type and intended use of each product, and/or equivalent certifications. Proposals without such documentation will be considered non-compliant. </w:t>
      </w:r>
      <w:r>
        <w:rPr>
          <w:rFonts w:ascii="Arial" w:hAnsi="Arial" w:eastAsia="Arial" w:cs="Arial"/>
        </w:rPr>
      </w:r>
      <w:r>
        <w:rPr>
          <w:rFonts w:ascii="Arial" w:hAnsi="Arial" w:eastAsia="Arial" w:cs="Arial"/>
        </w:rPr>
      </w:r>
    </w:p>
    <w:p w14:paraId="000001DC">
      <w:pPr>
        <w:numPr>
          <w:ilvl w:val="0"/>
          <w:numId w:val="8"/>
        </w:numPr>
        <w:pBdr/>
        <w:spacing w:line="276" w:lineRule="auto"/>
        <w:ind w:hanging="360" w:left="720"/>
        <w:jc w:val="both"/>
        <w:rPr>
          <w:rFonts w:ascii="Arial" w:hAnsi="Arial" w:eastAsia="Arial" w:cs="Arial"/>
        </w:rPr>
      </w:pPr>
      <w:r>
        <w:rPr>
          <w:rtl w:val="0"/>
        </w:rPr>
        <w:t xml:space="preserve">For medical products on</w:t>
      </w:r>
      <w:r>
        <w:rPr>
          <w:rtl w:val="0"/>
        </w:rPr>
        <w:t xml:space="preserve">ly – the labeling of medical devices must comply with the requirements of technical regulations (include a conformity mark accompanied by the number of the designated body that issued the certificate; information about the authorized representative of the </w:t>
      </w:r>
      <w:r>
        <w:rPr>
          <w:rtl w:val="0"/>
        </w:rPr>
        <w:t xml:space="preserve">medical device manufacturer; the name and location of the medical device manufacturer; data necessary to identify the medical device, package contents; if necessary – the batch code (after the word “Batch”), or serial number, catalog number, warranty perio</w:t>
      </w:r>
      <w:r>
        <w:rPr>
          <w:rtl w:val="0"/>
        </w:rPr>
        <w:t xml:space="preserve">d for safe use of the medical device indicating the year and month, single-use mark, information on any special storage conditions; information on any precautions; date of manufacture for active medical devices (supporting document – photo / label layout).</w:t>
      </w:r>
      <w:r>
        <w:rPr>
          <w:rFonts w:ascii="Arial" w:hAnsi="Arial" w:eastAsia="Arial" w:cs="Arial"/>
        </w:rPr>
      </w:r>
      <w:r>
        <w:rPr>
          <w:rFonts w:ascii="Arial" w:hAnsi="Arial" w:eastAsia="Arial" w:cs="Arial"/>
        </w:rPr>
      </w:r>
    </w:p>
    <w:p w14:paraId="000001DD">
      <w:pPr>
        <w:numPr>
          <w:ilvl w:val="0"/>
          <w:numId w:val="8"/>
        </w:numPr>
        <w:pBdr/>
        <w:spacing w:line="276" w:lineRule="auto"/>
        <w:ind w:hanging="360" w:left="720"/>
        <w:jc w:val="both"/>
        <w:rPr>
          <w:rFonts w:ascii="Arial" w:hAnsi="Arial" w:eastAsia="Arial" w:cs="Arial"/>
        </w:rPr>
      </w:pPr>
      <w:r>
        <w:rPr>
          <w:rtl w:val="0"/>
        </w:rPr>
        <w:t xml:space="preserve">Delivery and installation timeline: the detailed timeline for transportation, installation, configuration, and entry into service of the equipment from the date of Contract signature.</w:t>
      </w:r>
      <w:r>
        <w:rPr>
          <w:rFonts w:ascii="Arial" w:hAnsi="Arial" w:eastAsia="Arial" w:cs="Arial"/>
        </w:rPr>
      </w:r>
      <w:r>
        <w:rPr>
          <w:rFonts w:ascii="Arial" w:hAnsi="Arial" w:eastAsia="Arial" w:cs="Arial"/>
        </w:rPr>
      </w:r>
    </w:p>
    <w:p w14:paraId="000001DE">
      <w:pPr>
        <w:numPr>
          <w:ilvl w:val="0"/>
          <w:numId w:val="8"/>
        </w:numPr>
        <w:pBdr/>
        <w:spacing w:line="276" w:lineRule="auto"/>
        <w:ind w:hanging="360" w:left="720"/>
        <w:jc w:val="both"/>
        <w:rPr>
          <w:rFonts w:ascii="Arial" w:hAnsi="Arial" w:eastAsia="Arial" w:cs="Arial"/>
        </w:rPr>
      </w:pPr>
      <w:r>
        <w:rPr>
          <w:rtl w:val="0"/>
        </w:rPr>
        <w:t xml:space="preserve">Warranty terms:</w:t>
      </w:r>
      <w:r>
        <w:rPr>
          <w:rFonts w:ascii="Arial" w:hAnsi="Arial" w:eastAsia="Arial" w:cs="Arial"/>
        </w:rPr>
      </w:r>
      <w:r>
        <w:rPr>
          <w:rFonts w:ascii="Arial" w:hAnsi="Arial" w:eastAsia="Arial" w:cs="Arial"/>
        </w:rPr>
      </w:r>
    </w:p>
    <w:p w14:paraId="000001DF">
      <w:pPr>
        <w:numPr>
          <w:ilvl w:val="1"/>
          <w:numId w:val="8"/>
        </w:numPr>
        <w:pBdr/>
        <w:spacing w:line="276" w:lineRule="auto"/>
        <w:ind w:hanging="360" w:left="1440"/>
        <w:jc w:val="both"/>
        <w:rPr>
          <w:rFonts w:ascii="Arial" w:hAnsi="Arial" w:eastAsia="Arial" w:cs="Arial"/>
        </w:rPr>
      </w:pPr>
      <w:r>
        <w:rPr>
          <w:rtl w:val="0"/>
        </w:rPr>
        <w:t xml:space="preserve">clear statement of warranty duration for each item;</w:t>
      </w:r>
      <w:r>
        <w:rPr>
          <w:rFonts w:ascii="Arial" w:hAnsi="Arial" w:eastAsia="Arial" w:cs="Arial"/>
        </w:rPr>
      </w:r>
      <w:r>
        <w:rPr>
          <w:rFonts w:ascii="Arial" w:hAnsi="Arial" w:eastAsia="Arial" w:cs="Arial"/>
        </w:rPr>
      </w:r>
    </w:p>
    <w:p w14:paraId="000001E0">
      <w:pPr>
        <w:numPr>
          <w:ilvl w:val="1"/>
          <w:numId w:val="8"/>
        </w:numPr>
        <w:pBdr/>
        <w:spacing w:line="276" w:lineRule="auto"/>
        <w:ind w:hanging="360" w:left="1440"/>
        <w:jc w:val="both"/>
        <w:rPr>
          <w:rFonts w:ascii="Arial" w:hAnsi="Arial" w:eastAsia="Arial" w:cs="Arial"/>
        </w:rPr>
      </w:pPr>
      <w:r>
        <w:rPr>
          <w:rtl w:val="0"/>
        </w:rPr>
        <w:t xml:space="preserve">information on maintenance conditions.</w:t>
      </w:r>
      <w:r>
        <w:rPr>
          <w:rFonts w:ascii="Arial" w:hAnsi="Arial" w:eastAsia="Arial" w:cs="Arial"/>
        </w:rPr>
      </w:r>
      <w:r>
        <w:rPr>
          <w:rFonts w:ascii="Arial" w:hAnsi="Arial" w:eastAsia="Arial" w:cs="Arial"/>
        </w:rPr>
      </w:r>
    </w:p>
    <w:p w14:paraId="000001E1">
      <w:pPr>
        <w:numPr>
          <w:ilvl w:val="0"/>
          <w:numId w:val="8"/>
        </w:numPr>
        <w:pBdr/>
        <w:spacing w:line="276" w:lineRule="auto"/>
        <w:ind w:hanging="360" w:left="720"/>
        <w:jc w:val="both"/>
        <w:rPr>
          <w:rFonts w:ascii="Arial" w:hAnsi="Arial" w:eastAsia="Arial" w:cs="Arial"/>
        </w:rPr>
      </w:pPr>
      <w:r>
        <w:rPr>
          <w:rtl w:val="0"/>
        </w:rPr>
        <w:t xml:space="preserve">Service network information: a list of authorized service centers available in Ukraine, including contact details.</w:t>
      </w:r>
      <w:r>
        <w:rPr>
          <w:rFonts w:ascii="Arial" w:hAnsi="Arial" w:eastAsia="Arial" w:cs="Arial"/>
        </w:rPr>
      </w:r>
      <w:r>
        <w:rPr>
          <w:rFonts w:ascii="Arial" w:hAnsi="Arial" w:eastAsia="Arial" w:cs="Arial"/>
        </w:rPr>
      </w:r>
    </w:p>
    <w:p w14:paraId="000001E2">
      <w:pPr>
        <w:numPr>
          <w:ilvl w:val="0"/>
          <w:numId w:val="8"/>
        </w:numPr>
        <w:pBdr/>
        <w:spacing w:line="276" w:lineRule="auto"/>
        <w:ind w:hanging="360" w:left="720"/>
        <w:jc w:val="both"/>
        <w:rPr>
          <w:rFonts w:ascii="Arial" w:hAnsi="Arial" w:eastAsia="Arial" w:cs="Arial"/>
        </w:rPr>
      </w:pPr>
      <w:r>
        <w:rPr>
          <w:rtl w:val="0"/>
        </w:rPr>
        <w:t xml:space="preserve">Relevant certifications: copies of all required Ukrainian certifications and manufacturer authorizations.</w:t>
      </w:r>
      <w:r>
        <w:rPr>
          <w:rFonts w:ascii="Arial" w:hAnsi="Arial" w:eastAsia="Arial" w:cs="Arial"/>
        </w:rPr>
      </w:r>
      <w:r>
        <w:rPr>
          <w:rFonts w:ascii="Arial" w:hAnsi="Arial" w:eastAsia="Arial" w:cs="Arial"/>
        </w:rPr>
      </w:r>
    </w:p>
    <w:p w14:paraId="000001E3">
      <w:pPr>
        <w:numPr>
          <w:ilvl w:val="0"/>
          <w:numId w:val="8"/>
        </w:numPr>
        <w:pBdr/>
        <w:spacing w:line="276" w:lineRule="auto"/>
        <w:ind w:hanging="360" w:left="720"/>
        <w:jc w:val="both"/>
        <w:rPr>
          <w:rFonts w:ascii="Arial" w:hAnsi="Arial" w:eastAsia="Arial" w:cs="Arial"/>
        </w:rPr>
      </w:pPr>
      <w:r>
        <w:rPr>
          <w:rtl w:val="0"/>
        </w:rPr>
        <w:t xml:space="preserve">All supporting documents, certificates, and technical materials must be submitted in Ukrainian and / or English. If issued in another language, certified translations must be provided.</w:t>
      </w:r>
      <w:r>
        <w:rPr>
          <w:rFonts w:ascii="Arial" w:hAnsi="Arial" w:eastAsia="Arial" w:cs="Arial"/>
        </w:rPr>
      </w:r>
      <w:r>
        <w:rPr>
          <w:rFonts w:ascii="Arial" w:hAnsi="Arial" w:eastAsia="Arial" w:cs="Arial"/>
        </w:rPr>
      </w:r>
    </w:p>
    <w:p w14:paraId="000001E4">
      <w:pPr>
        <w:pBdr/>
        <w:spacing w:line="276" w:lineRule="auto"/>
        <w:ind/>
        <w:rPr/>
      </w:pPr>
      <w:r>
        <w:rPr>
          <w:rtl w:val="0"/>
        </w:rPr>
      </w:r>
      <w:r/>
    </w:p>
    <w:p w14:paraId="000001E5">
      <w:pPr>
        <w:numPr>
          <w:ilvl w:val="0"/>
          <w:numId w:val="3"/>
        </w:numPr>
        <w:pBdr/>
        <w:shd w:val="clear" w:color="auto" w:fill="e6e6e6"/>
        <w:spacing w:line="276" w:lineRule="auto"/>
        <w:ind w:left="180"/>
        <w:rPr>
          <w:b/>
          <w:bCs/>
        </w:rPr>
      </w:pPr>
      <w:r>
        <w:rPr>
          <w:b/>
          <w:bCs/>
          <w:rtl w:val="0"/>
        </w:rPr>
        <w:t xml:space="preserve">Coordination</w:t>
      </w:r>
      <w:r>
        <w:rPr>
          <w:b/>
          <w:bCs/>
        </w:rPr>
      </w:r>
      <w:r>
        <w:rPr>
          <w:b/>
          <w:bCs/>
        </w:rPr>
      </w:r>
    </w:p>
    <w:p w14:paraId="000001E6">
      <w:pPr>
        <w:pBdr/>
        <w:spacing w:line="276" w:lineRule="auto"/>
        <w:ind/>
        <w:rPr>
          <w:highlight w:val="cyan"/>
        </w:rPr>
      </w:pPr>
      <w:r>
        <w:rPr>
          <w:rtl w:val="0"/>
        </w:rPr>
      </w:r>
      <w:r>
        <w:rPr>
          <w:highlight w:val="cyan"/>
        </w:rPr>
      </w:r>
      <w:r>
        <w:rPr>
          <w:highlight w:val="cyan"/>
        </w:rPr>
      </w:r>
    </w:p>
    <w:p w14:paraId="000001E7">
      <w:pPr>
        <w:pBdr/>
        <w:spacing w:after="240" w:line="276" w:lineRule="auto"/>
        <w:ind/>
        <w:jc w:val="both"/>
        <w:rPr/>
      </w:pPr>
      <w:r>
        <w:rPr>
          <w:rtl w:val="0"/>
        </w:rPr>
        <w:t xml:space="preserve">The assignment is expected to be completed by 31 July, 2026. All activities and implementation details must be coordinated and confirmed in advance with the designated focal point at Expertise France.</w:t>
      </w:r>
      <w:r/>
    </w:p>
    <w:p w14:paraId="000001E8">
      <w:pPr>
        <w:pBdr/>
        <w:spacing w:line="276" w:lineRule="auto"/>
        <w:ind/>
        <w:jc w:val="both"/>
        <w:rPr/>
      </w:pPr>
      <w:r>
        <w:rPr>
          <w:rtl w:val="0"/>
        </w:rPr>
        <w:t xml:space="preserve">In addition to the contact person specified in the A</w:t>
      </w:r>
      <w:r>
        <w:rPr>
          <w:rtl w:val="0"/>
        </w:rPr>
        <w:t xml:space="preserve">greement for contractual, financial, and administrative matters, close operational coordination must be established and maintained from the outset and throughout the duration of the Contract with the designated operational contact person: Hanna Niemtsova; </w:t>
      </w:r>
      <w:hyperlink r:id="rId36" w:tooltip="mailto:hanna.niemtsova@expertisefrance.fr" w:history="1">
        <w:r>
          <w:rPr>
            <w:color w:val="0000ff"/>
            <w:u w:val="single"/>
            <w:rtl w:val="0"/>
          </w:rPr>
          <w:t xml:space="preserve">hanna.niemtsova@expertisefrance.fr</w:t>
        </w:r>
      </w:hyperlink>
      <w:r>
        <w:rPr>
          <w:rtl w:val="0"/>
        </w:rPr>
        <w:t xml:space="preserve">. </w:t>
      </w:r>
      <w:r/>
    </w:p>
    <w:p w14:paraId="000001E9">
      <w:pPr>
        <w:pBdr/>
        <w:spacing w:line="276" w:lineRule="auto"/>
        <w:ind/>
        <w:rPr/>
      </w:pPr>
      <w:r>
        <w:rPr>
          <w:rtl w:val="0"/>
        </w:rPr>
      </w:r>
      <w:r/>
    </w:p>
    <w:p w14:paraId="000001EA">
      <w:pPr>
        <w:numPr>
          <w:ilvl w:val="0"/>
          <w:numId w:val="3"/>
        </w:numPr>
        <w:pBdr/>
        <w:shd w:val="clear" w:color="auto" w:fill="e6e6e6"/>
        <w:spacing w:line="276" w:lineRule="auto"/>
        <w:ind w:left="180"/>
        <w:rPr>
          <w:b/>
          <w:bCs/>
        </w:rPr>
      </w:pPr>
      <w:r>
        <w:rPr>
          <w:b/>
          <w:bCs/>
          <w:rtl w:val="0"/>
        </w:rPr>
        <w:t xml:space="preserve">Place, duration and terms of performance</w:t>
      </w:r>
      <w:r>
        <w:rPr>
          <w:b/>
          <w:bCs/>
        </w:rPr>
      </w:r>
      <w:r>
        <w:rPr>
          <w:b/>
          <w:bCs/>
        </w:rPr>
      </w:r>
    </w:p>
    <w:p w14:paraId="000001EB">
      <w:pPr>
        <w:pBdr/>
        <w:spacing w:line="276" w:lineRule="auto"/>
        <w:ind/>
        <w:rPr/>
      </w:pPr>
      <w:r>
        <w:rPr>
          <w:rtl w:val="0"/>
        </w:rPr>
      </w:r>
      <w:r/>
    </w:p>
    <w:p w14:paraId="000001EC">
      <w:pPr>
        <w:pBdr/>
        <w:spacing w:line="276" w:lineRule="auto"/>
        <w:ind/>
        <w:rPr/>
      </w:pPr>
      <w:r>
        <w:rPr>
          <w:rtl w:val="0"/>
        </w:rPr>
        <w:t xml:space="preserve">Place: </w:t>
        <w:tab/>
        <w:tab/>
        <w:t xml:space="preserve">Ukraine;</w:t>
      </w:r>
      <w:r/>
    </w:p>
    <w:p w14:paraId="000001ED">
      <w:pPr>
        <w:pBdr/>
        <w:spacing w:line="276" w:lineRule="auto"/>
        <w:ind/>
        <w:rPr/>
      </w:pPr>
      <w:r>
        <w:rPr>
          <w:rtl w:val="0"/>
        </w:rPr>
        <w:t xml:space="preserve">Start date:</w:t>
        <w:tab/>
        <w:t xml:space="preserve">May 2026;</w:t>
      </w:r>
      <w:r/>
    </w:p>
    <w:p w14:paraId="000001EE">
      <w:pPr>
        <w:pBdr/>
        <w:spacing w:line="276" w:lineRule="auto"/>
        <w:ind/>
        <w:rPr/>
      </w:pPr>
      <w:r>
        <w:rPr>
          <w:rtl w:val="0"/>
        </w:rPr>
        <w:t xml:space="preserve">End date:</w:t>
        <w:tab/>
        <w:t xml:space="preserve">31 July 2026;</w:t>
      </w:r>
      <w:r/>
    </w:p>
    <w:p w14:paraId="000001EF">
      <w:pPr>
        <w:pBdr/>
        <w:spacing w:line="276" w:lineRule="auto"/>
        <w:ind/>
        <w:rPr/>
      </w:pPr>
      <w:r>
        <w:rPr>
          <w:rtl w:val="0"/>
        </w:rPr>
        <w:t xml:space="preserve">Delivery terms:</w:t>
        <w:tab/>
        <w:t xml:space="preserve">DDP.</w:t>
      </w:r>
      <w:r/>
    </w:p>
    <w:p w14:paraId="000001F0">
      <w:pPr>
        <w:pBdr/>
        <w:spacing w:line="276" w:lineRule="auto"/>
        <w:ind/>
        <w:jc w:val="both"/>
        <w:rPr/>
      </w:pPr>
      <w:r>
        <w:rPr>
          <w:rtl w:val="0"/>
        </w:rPr>
      </w:r>
      <w:r/>
    </w:p>
    <w:p w14:paraId="000001F1">
      <w:pPr>
        <w:numPr>
          <w:ilvl w:val="0"/>
          <w:numId w:val="3"/>
        </w:numPr>
        <w:pBdr/>
        <w:shd w:val="clear" w:color="auto" w:fill="e6e6e6"/>
        <w:spacing w:line="276" w:lineRule="auto"/>
        <w:ind w:left="180"/>
        <w:rPr>
          <w:b/>
          <w:bCs/>
        </w:rPr>
      </w:pPr>
      <w:r>
        <w:rPr>
          <w:b/>
          <w:bCs/>
          <w:rtl w:val="0"/>
        </w:rPr>
        <w:t xml:space="preserve">Eligibility, evaluation and selection criteria</w:t>
      </w:r>
      <w:r>
        <w:rPr>
          <w:b/>
          <w:bCs/>
        </w:rPr>
      </w:r>
      <w:r>
        <w:rPr>
          <w:b/>
          <w:bCs/>
        </w:rPr>
      </w:r>
    </w:p>
    <w:p w14:paraId="000001F2">
      <w:pPr>
        <w:pBdr/>
        <w:spacing w:line="276" w:lineRule="auto"/>
        <w:ind/>
        <w:jc w:val="both"/>
        <w:rPr/>
      </w:pPr>
      <w:r>
        <w:rPr>
          <w:rtl w:val="0"/>
        </w:rPr>
      </w:r>
      <w:r/>
    </w:p>
    <w:p w14:paraId="000001F3">
      <w:pPr>
        <w:pBdr/>
        <w:spacing w:line="276" w:lineRule="auto"/>
        <w:ind/>
        <w:jc w:val="both"/>
        <w:rPr/>
      </w:pPr>
      <w:r>
        <w:rPr>
          <w:rtl w:val="0"/>
        </w:rPr>
        <w:t xml:space="preserve">This call is open for LLC companies registered as a legal entity in Ukraine or LLC international companies having official division(s) in Ukraine as well as Private Entrepreneur (FOP) persons, able to provide required services.</w:t>
      </w:r>
      <w:r/>
    </w:p>
    <w:p w14:paraId="000001F4">
      <w:pPr>
        <w:pBdr/>
        <w:spacing w:line="276" w:lineRule="auto"/>
        <w:ind/>
        <w:jc w:val="both"/>
        <w:rPr/>
      </w:pPr>
      <w:r>
        <w:rPr>
          <w:rtl w:val="0"/>
        </w:rPr>
      </w:r>
      <w:r/>
    </w:p>
    <w:p w14:paraId="000001F5">
      <w:pPr>
        <w:pBdr/>
        <w:spacing w:line="276" w:lineRule="auto"/>
        <w:ind/>
        <w:jc w:val="both"/>
        <w:rPr/>
      </w:pPr>
      <w:r>
        <w:rPr>
          <w:rtl w:val="0"/>
        </w:rPr>
        <w:t xml:space="preserve">A procurement committee will evaluate all received proposals based on the specified criteria:</w:t>
      </w:r>
      <w:r/>
    </w:p>
    <w:p w14:paraId="000001F6">
      <w:pPr>
        <w:numPr>
          <w:ilvl w:val="0"/>
          <w:numId w:val="15"/>
        </w:numPr>
        <w:pBdr/>
        <w:spacing w:line="276" w:lineRule="auto"/>
        <w:ind w:hanging="360" w:left="720"/>
        <w:jc w:val="both"/>
        <w:rPr>
          <w:rFonts w:ascii="Arial" w:hAnsi="Arial" w:eastAsia="Arial" w:cs="Arial"/>
        </w:rPr>
      </w:pPr>
      <w:r>
        <w:rPr>
          <w:rtl w:val="0"/>
        </w:rPr>
        <w:t xml:space="preserve">Financial Offer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7">
      <w:pPr>
        <w:numPr>
          <w:ilvl w:val="0"/>
          <w:numId w:val="15"/>
        </w:numPr>
        <w:pBdr/>
        <w:spacing w:line="276" w:lineRule="auto"/>
        <w:ind w:hanging="360" w:left="720"/>
        <w:jc w:val="both"/>
        <w:rPr>
          <w:rFonts w:ascii="Arial" w:hAnsi="Arial" w:eastAsia="Arial" w:cs="Arial"/>
        </w:rPr>
      </w:pPr>
      <w:r>
        <w:rPr>
          <w:rtl w:val="0"/>
        </w:rPr>
        <w:t xml:space="preserve">Compliance with Technical Specifications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8">
      <w:pPr>
        <w:numPr>
          <w:ilvl w:val="0"/>
          <w:numId w:val="17"/>
        </w:numPr>
        <w:pBdr/>
        <w:spacing w:line="276" w:lineRule="auto"/>
        <w:ind w:hanging="360" w:left="1440"/>
        <w:jc w:val="both"/>
        <w:rPr>
          <w:rFonts w:ascii="Arial" w:hAnsi="Arial" w:eastAsia="Arial" w:cs="Arial"/>
        </w:rPr>
      </w:pPr>
      <w:r>
        <w:rPr>
          <w:rtl w:val="0"/>
        </w:rPr>
        <w:t xml:space="preserve">Assessment of how well the proposed equipment meets the required functional and technical specifications;</w:t>
      </w:r>
      <w:r>
        <w:rPr>
          <w:rFonts w:ascii="Arial" w:hAnsi="Arial" w:eastAsia="Arial" w:cs="Arial"/>
        </w:rPr>
      </w:r>
      <w:r>
        <w:rPr>
          <w:rFonts w:ascii="Arial" w:hAnsi="Arial" w:eastAsia="Arial" w:cs="Arial"/>
        </w:rPr>
      </w:r>
    </w:p>
    <w:p w14:paraId="000001F9">
      <w:pPr>
        <w:numPr>
          <w:ilvl w:val="0"/>
          <w:numId w:val="17"/>
        </w:numPr>
        <w:pBdr/>
        <w:spacing w:line="276" w:lineRule="auto"/>
        <w:ind w:hanging="360" w:left="1440"/>
        <w:jc w:val="both"/>
        <w:rPr>
          <w:rFonts w:ascii="Arial" w:hAnsi="Arial" w:eastAsia="Arial" w:cs="Arial"/>
        </w:rPr>
      </w:pPr>
      <w:r>
        <w:rPr>
          <w:rtl w:val="0"/>
        </w:rPr>
        <w:t xml:space="preserve">Expected lifespan, quality of materials, and suitability for intensive clinical use (if applicable);</w:t>
      </w:r>
      <w:r>
        <w:rPr>
          <w:rFonts w:ascii="Arial" w:hAnsi="Arial" w:eastAsia="Arial" w:cs="Arial"/>
        </w:rPr>
      </w:r>
      <w:r>
        <w:rPr>
          <w:rFonts w:ascii="Arial" w:hAnsi="Arial" w:eastAsia="Arial" w:cs="Arial"/>
        </w:rPr>
      </w:r>
    </w:p>
    <w:p w14:paraId="000001FA">
      <w:pPr>
        <w:numPr>
          <w:ilvl w:val="0"/>
          <w:numId w:val="17"/>
        </w:numPr>
        <w:pBdr/>
        <w:spacing w:line="276" w:lineRule="auto"/>
        <w:ind w:hanging="360" w:left="1440"/>
        <w:jc w:val="both"/>
        <w:rPr>
          <w:rFonts w:ascii="Arial" w:hAnsi="Arial" w:eastAsia="Arial" w:cs="Arial"/>
        </w:rPr>
      </w:pPr>
      <w:r>
        <w:rPr>
          <w:rtl w:val="0"/>
        </w:rPr>
        <w:t xml:space="preserve">Safety standards and certifications as (if applicable);</w:t>
      </w:r>
      <w:r>
        <w:rPr>
          <w:rFonts w:ascii="Arial" w:hAnsi="Arial" w:eastAsia="Arial" w:cs="Arial"/>
        </w:rPr>
      </w:r>
      <w:r>
        <w:rPr>
          <w:rFonts w:ascii="Arial" w:hAnsi="Arial" w:eastAsia="Arial" w:cs="Arial"/>
        </w:rPr>
      </w:r>
    </w:p>
    <w:p w14:paraId="000001FB">
      <w:pPr>
        <w:numPr>
          <w:ilvl w:val="0"/>
          <w:numId w:val="17"/>
        </w:numPr>
        <w:pBdr/>
        <w:spacing w:line="276" w:lineRule="auto"/>
        <w:ind w:hanging="360" w:left="1440"/>
        <w:jc w:val="both"/>
        <w:rPr>
          <w:rFonts w:ascii="Arial" w:hAnsi="Arial" w:eastAsia="Arial" w:cs="Arial"/>
        </w:rPr>
      </w:pPr>
      <w:r>
        <w:rPr>
          <w:rtl w:val="0"/>
        </w:rPr>
        <w:t xml:space="preserve">Compliance with applicable medical device safety standards and certifications;</w:t>
      </w:r>
      <w:r>
        <w:rPr>
          <w:rFonts w:ascii="Arial" w:hAnsi="Arial" w:eastAsia="Arial" w:cs="Arial"/>
        </w:rPr>
      </w:r>
      <w:r>
        <w:rPr>
          <w:rFonts w:ascii="Arial" w:hAnsi="Arial" w:eastAsia="Arial" w:cs="Arial"/>
        </w:rPr>
      </w:r>
    </w:p>
    <w:p w14:paraId="000001FC">
      <w:pPr>
        <w:numPr>
          <w:ilvl w:val="0"/>
          <w:numId w:val="17"/>
        </w:numPr>
        <w:pBdr/>
        <w:spacing w:line="276" w:lineRule="auto"/>
        <w:ind w:hanging="360" w:left="1440"/>
        <w:jc w:val="both"/>
        <w:rPr>
          <w:rFonts w:ascii="Arial" w:hAnsi="Arial" w:eastAsia="Arial" w:cs="Arial"/>
        </w:rPr>
      </w:pPr>
      <w:r>
        <w:rPr>
          <w:rtl w:val="0"/>
        </w:rPr>
        <w:t xml:space="preserve">Warranty, and after-sales service and maintenance support;</w:t>
      </w:r>
      <w:r>
        <w:rPr>
          <w:rFonts w:ascii="Arial" w:hAnsi="Arial" w:eastAsia="Arial" w:cs="Arial"/>
        </w:rPr>
      </w:r>
      <w:r>
        <w:rPr>
          <w:rFonts w:ascii="Arial" w:hAnsi="Arial" w:eastAsia="Arial" w:cs="Arial"/>
        </w:rPr>
      </w:r>
    </w:p>
    <w:p w14:paraId="000001FD">
      <w:pPr>
        <w:numPr>
          <w:ilvl w:val="0"/>
          <w:numId w:val="17"/>
        </w:numPr>
        <w:pBdr/>
        <w:spacing w:line="276" w:lineRule="auto"/>
        <w:ind w:hanging="360" w:left="1440"/>
        <w:jc w:val="both"/>
        <w:rPr>
          <w:rFonts w:ascii="Arial" w:hAnsi="Arial" w:eastAsia="Arial" w:cs="Arial"/>
        </w:rPr>
      </w:pPr>
      <w:r>
        <w:rPr>
          <w:rtl w:val="0"/>
        </w:rPr>
        <w:t xml:space="preserve">Provided Declaration of Conformity / Certificate of Conformity / MDR (EU 2017/745) certificate / CE marking for Class I/IIa devices / any other equivalent document recognized by the regulatory authority (if relevant).</w:t>
      </w:r>
      <w:r>
        <w:rPr>
          <w:rFonts w:ascii="Arial" w:hAnsi="Arial" w:eastAsia="Arial" w:cs="Arial"/>
        </w:rPr>
      </w:r>
      <w:r>
        <w:rPr>
          <w:rFonts w:ascii="Arial" w:hAnsi="Arial" w:eastAsia="Arial" w:cs="Arial"/>
        </w:rPr>
      </w:r>
    </w:p>
    <w:p w14:paraId="000001FE">
      <w:pPr>
        <w:numPr>
          <w:ilvl w:val="0"/>
          <w:numId w:val="12"/>
        </w:numPr>
        <w:pBdr/>
        <w:spacing w:line="276" w:lineRule="auto"/>
        <w:ind w:hanging="360" w:left="720"/>
        <w:rPr>
          <w:rFonts w:ascii="Arial" w:hAnsi="Arial" w:eastAsia="Arial" w:cs="Arial"/>
        </w:rPr>
      </w:pPr>
      <w:r>
        <w:rPr>
          <w:rtl w:val="0"/>
        </w:rPr>
        <w:t xml:space="preserve">Delivery and Timeline – </w:t>
      </w:r>
      <w:r>
        <w:rPr>
          <w:b/>
          <w:bCs/>
          <w:rtl w:val="0"/>
        </w:rPr>
        <w:t xml:space="preserve">20</w:t>
      </w:r>
      <w:r>
        <w:rPr>
          <w:rtl w:val="0"/>
        </w:rPr>
        <w:t xml:space="preserve">%</w:t>
      </w:r>
      <w:r>
        <w:rPr>
          <w:rFonts w:ascii="Arial" w:hAnsi="Arial" w:eastAsia="Arial" w:cs="Arial"/>
        </w:rPr>
      </w:r>
      <w:r>
        <w:rPr>
          <w:rFonts w:ascii="Arial" w:hAnsi="Arial" w:eastAsia="Arial" w:cs="Arial"/>
        </w:rPr>
      </w:r>
    </w:p>
    <w:p w14:paraId="000001FF">
      <w:pPr>
        <w:pBdr/>
        <w:spacing w:line="276" w:lineRule="auto"/>
        <w:ind w:firstLine="0" w:left="720"/>
        <w:rPr/>
      </w:pPr>
      <w:r>
        <w:rPr>
          <w:rtl w:val="0"/>
        </w:rPr>
        <w:t xml:space="preserve">Delivery timeline including installation and trainings (as required). Evaluated based on the provided detailed timeline.</w:t>
      </w:r>
      <w:r/>
    </w:p>
    <w:p w14:paraId="00000200">
      <w:pPr>
        <w:pBdr/>
        <w:spacing w:line="276" w:lineRule="auto"/>
        <w:ind/>
        <w:jc w:val="both"/>
        <w:rPr/>
      </w:pPr>
      <w:r>
        <w:rPr>
          <w:rtl w:val="0"/>
        </w:rPr>
      </w:r>
      <w:r/>
    </w:p>
    <w:p w14:paraId="00000201">
      <w:pPr>
        <w:pBdr/>
        <w:spacing w:line="276" w:lineRule="auto"/>
        <w:ind/>
        <w:jc w:val="both"/>
        <w:rPr/>
      </w:pPr>
      <w:r>
        <w:rPr>
          <w:rtl w:val="0"/>
        </w:rPr>
        <w:t xml:space="preserve">The selected Service Provider will be notified promptly after the evaluation process is completed.</w:t>
      </w:r>
      <w:r/>
    </w:p>
    <w:p w14:paraId="00000202">
      <w:pPr>
        <w:pBdr/>
        <w:spacing w:line="276" w:lineRule="auto"/>
        <w:ind/>
        <w:jc w:val="both"/>
        <w:rPr/>
      </w:pPr>
      <w:r>
        <w:rPr>
          <w:rtl w:val="0"/>
        </w:rPr>
      </w:r>
      <w:r/>
    </w:p>
    <w:p w14:paraId="00000203">
      <w:pPr>
        <w:numPr>
          <w:ilvl w:val="0"/>
          <w:numId w:val="3"/>
        </w:numPr>
        <w:pBdr/>
        <w:shd w:val="clear" w:color="auto" w:fill="e6e6e6"/>
        <w:spacing w:line="276" w:lineRule="auto"/>
        <w:ind w:left="180"/>
        <w:rPr>
          <w:b/>
          <w:bCs/>
        </w:rPr>
      </w:pPr>
      <w:r>
        <w:rPr>
          <w:b/>
          <w:bCs/>
          <w:rtl w:val="0"/>
        </w:rPr>
        <w:t xml:space="preserve">Payment terms</w:t>
      </w:r>
      <w:r>
        <w:rPr>
          <w:b/>
          <w:bCs/>
        </w:rPr>
      </w:r>
      <w:r>
        <w:rPr>
          <w:b/>
          <w:bCs/>
        </w:rPr>
      </w:r>
    </w:p>
    <w:p w14:paraId="00000204">
      <w:pPr>
        <w:pBdr/>
        <w:spacing w:before="240" w:line="276" w:lineRule="auto"/>
        <w:ind/>
        <w:jc w:val="both"/>
        <w:rPr/>
      </w:pPr>
      <w:r>
        <w:rPr>
          <w:rtl w:val="0"/>
        </w:rPr>
        <w:t xml:space="preserve">Payment terms:</w:t>
      </w:r>
      <w:r/>
    </w:p>
    <w:p w14:paraId="00000205">
      <w:pPr>
        <w:numPr>
          <w:ilvl w:val="0"/>
          <w:numId w:val="11"/>
        </w:numPr>
        <w:pBdr/>
        <w:spacing w:line="276" w:lineRule="auto"/>
        <w:ind w:hanging="360" w:left="720"/>
        <w:jc w:val="both"/>
        <w:rPr>
          <w:rFonts w:ascii="Arial" w:hAnsi="Arial" w:eastAsia="Arial" w:cs="Arial"/>
        </w:rPr>
      </w:pPr>
      <w:r>
        <w:rPr>
          <w:rtl w:val="0"/>
        </w:rPr>
        <w:t xml:space="preserve">The price of the goods must include: delivery of the equipment to the purchasers; where applicable: installation, commissioning of the equipment, and training of the Customer’s specialists (supporting document – letter of guarantee).</w:t>
      </w:r>
      <w:r>
        <w:rPr>
          <w:rFonts w:ascii="Arial" w:hAnsi="Arial" w:eastAsia="Arial" w:cs="Arial"/>
        </w:rPr>
      </w:r>
      <w:r>
        <w:rPr>
          <w:rFonts w:ascii="Arial" w:hAnsi="Arial" w:eastAsia="Arial" w:cs="Arial"/>
        </w:rPr>
      </w:r>
    </w:p>
    <w:p w14:paraId="00000206">
      <w:pPr>
        <w:numPr>
          <w:ilvl w:val="0"/>
          <w:numId w:val="11"/>
        </w:numPr>
        <w:pBdr/>
        <w:spacing w:line="276" w:lineRule="auto"/>
        <w:ind w:hanging="360" w:left="720"/>
        <w:jc w:val="both"/>
        <w:rPr>
          <w:rFonts w:ascii="Arial" w:hAnsi="Arial" w:eastAsia="Arial" w:cs="Arial"/>
        </w:rPr>
      </w:pPr>
      <w:r>
        <w:rPr>
          <w:rtl w:val="0"/>
        </w:rPr>
        <w:t xml:space="preserve">The cost o</w:t>
      </w:r>
      <w:r>
        <w:rPr>
          <w:rtl w:val="0"/>
        </w:rPr>
        <w:t xml:space="preserve">f the goods is fixed based on the National Bank of Ukraine (NBU) exchange rate (Euro to Hryvnia) as of the date of the price proposal submission. Should the national currency exchange rate fluctuate by more than 2% by the date of signing the specification,</w:t>
      </w:r>
      <w:r>
        <w:rPr>
          <w:rtl w:val="0"/>
        </w:rPr>
        <w:t xml:space="preserve"> or by the date of delivery of goods, works, or services, the cost shall be recalculated in accordance with the NBU exchange rate (Euro to Hryvnia) as of the date of signing the Contract, the specification, the delivery note, or the acceptance certificate.</w:t>
      </w:r>
      <w:r>
        <w:rPr>
          <w:rFonts w:ascii="Arial" w:hAnsi="Arial" w:eastAsia="Arial" w:cs="Arial"/>
        </w:rPr>
      </w:r>
      <w:r>
        <w:rPr>
          <w:rFonts w:ascii="Arial" w:hAnsi="Arial" w:eastAsia="Arial" w:cs="Arial"/>
        </w:rPr>
      </w:r>
    </w:p>
    <w:p w14:paraId="00000207">
      <w:pPr>
        <w:numPr>
          <w:ilvl w:val="0"/>
          <w:numId w:val="10"/>
        </w:numPr>
        <w:pBdr/>
        <w:spacing w:line="276" w:lineRule="auto"/>
        <w:ind w:hanging="360" w:left="720"/>
        <w:jc w:val="both"/>
        <w:rPr>
          <w:rFonts w:ascii="Arial" w:hAnsi="Arial" w:eastAsia="Arial" w:cs="Arial"/>
        </w:rPr>
      </w:pPr>
      <w:r>
        <w:rPr>
          <w:rtl w:val="0"/>
        </w:rPr>
        <w:t xml:space="preserve">The amounts of such payment may not exceed the value of the services, supplies or works performed by the Contractor and validated by Expertise France.</w:t>
      </w:r>
      <w:r>
        <w:rPr>
          <w:rFonts w:ascii="Arial" w:hAnsi="Arial" w:eastAsia="Arial" w:cs="Arial"/>
        </w:rPr>
      </w:r>
      <w:r>
        <w:rPr>
          <w:rFonts w:ascii="Arial" w:hAnsi="Arial" w:eastAsia="Arial" w:cs="Arial"/>
        </w:rPr>
      </w:r>
    </w:p>
    <w:p w14:paraId="00000208">
      <w:pPr>
        <w:numPr>
          <w:ilvl w:val="0"/>
          <w:numId w:val="10"/>
        </w:numPr>
        <w:pBdr/>
        <w:spacing w:line="276" w:lineRule="auto"/>
        <w:ind w:hanging="360" w:left="720"/>
        <w:jc w:val="both"/>
        <w:rPr>
          <w:rFonts w:ascii="Arial" w:hAnsi="Arial" w:eastAsia="Arial" w:cs="Arial"/>
        </w:rPr>
      </w:pPr>
      <w:r>
        <w:rPr>
          <w:rtl w:val="0"/>
        </w:rPr>
        <w:t xml:space="preserve">This procurement is financed under an international technical assistance project impl</w:t>
      </w:r>
      <w:r>
        <w:rPr>
          <w:rtl w:val="0"/>
        </w:rPr>
        <w:t xml:space="preserve">emented by Expertise France. In accordance with the applicable international agreements and Ukrainian legislation regulating international technical assistance, no taxes, VAT, duties, tariffs, or other mandatory charges may be financed under this Contract.</w:t>
      </w:r>
      <w:r>
        <w:rPr>
          <w:rFonts w:ascii="Arial" w:hAnsi="Arial" w:eastAsia="Arial" w:cs="Arial"/>
        </w:rPr>
      </w:r>
      <w:r>
        <w:rPr>
          <w:rFonts w:ascii="Arial" w:hAnsi="Arial" w:eastAsia="Arial" w:cs="Arial"/>
        </w:rPr>
      </w:r>
    </w:p>
    <w:p w14:paraId="00000209">
      <w:pPr>
        <w:numPr>
          <w:ilvl w:val="0"/>
          <w:numId w:val="10"/>
        </w:numPr>
        <w:pBdr/>
        <w:spacing w:line="276" w:lineRule="auto"/>
        <w:ind w:hanging="360" w:left="720"/>
        <w:jc w:val="both"/>
        <w:rPr>
          <w:rFonts w:ascii="Arial" w:hAnsi="Arial" w:eastAsia="Arial" w:cs="Arial"/>
        </w:rPr>
      </w:pPr>
      <w:r>
        <w:rPr>
          <w:rtl w:val="0"/>
        </w:rPr>
        <w:t xml:space="preserve">Goods, works, and services procured within the</w:t>
      </w:r>
      <w:r>
        <w:rPr>
          <w:rtl w:val="0"/>
        </w:rPr>
        <w:t xml:space="preserve"> framework of the Project are exempt from VAT. Expertise France will provide the selected Supplier with a certified copy of the REHAB project registration card, issued by the Secretariat of the Cabinet of Ministers of Ukraine, confirming the VAT exemption.</w:t>
      </w:r>
      <w:r>
        <w:rPr>
          <w:rFonts w:ascii="Arial" w:hAnsi="Arial" w:eastAsia="Arial" w:cs="Arial"/>
        </w:rPr>
      </w:r>
      <w:r>
        <w:rPr>
          <w:rFonts w:ascii="Arial" w:hAnsi="Arial" w:eastAsia="Arial" w:cs="Arial"/>
        </w:rPr>
      </w:r>
    </w:p>
    <w:p w14:paraId="0000020A">
      <w:pPr>
        <w:numPr>
          <w:ilvl w:val="0"/>
          <w:numId w:val="10"/>
        </w:numPr>
        <w:pBdr/>
        <w:spacing w:line="276" w:lineRule="auto"/>
        <w:ind w:hanging="360" w:left="720"/>
        <w:jc w:val="both"/>
        <w:rPr>
          <w:rFonts w:ascii="Arial" w:hAnsi="Arial" w:eastAsia="Arial" w:cs="Arial"/>
        </w:rPr>
      </w:pPr>
      <w:r>
        <w:rPr>
          <w:rtl w:val="0"/>
        </w:rPr>
        <w:t xml:space="preserve">The Supplier must issue all invoices and tax documents clearly marked VAT exempted, indicating the project name, contract number, and the legal basis for the exemption. </w:t>
      </w:r>
      <w:r>
        <w:rPr>
          <w:rFonts w:ascii="Arial" w:hAnsi="Arial" w:eastAsia="Arial" w:cs="Arial"/>
        </w:rPr>
      </w:r>
      <w:r>
        <w:rPr>
          <w:rFonts w:ascii="Arial" w:hAnsi="Arial" w:eastAsia="Arial" w:cs="Arial"/>
        </w:rPr>
      </w:r>
    </w:p>
    <w:p w14:paraId="0000020B">
      <w:pPr>
        <w:numPr>
          <w:ilvl w:val="0"/>
          <w:numId w:val="10"/>
        </w:numPr>
        <w:pBdr/>
        <w:spacing w:after="240" w:line="276" w:lineRule="auto"/>
        <w:ind w:hanging="360" w:left="720"/>
        <w:jc w:val="both"/>
        <w:rPr>
          <w:rFonts w:ascii="Arial" w:hAnsi="Arial" w:eastAsia="Arial" w:cs="Arial"/>
        </w:rPr>
      </w:pPr>
      <w:r>
        <w:rPr>
          <w:rtl w:val="0"/>
        </w:rPr>
        <w:t xml:space="preserve">All payment terms will be defined in the Contract in accordance with donor regulations and Ukrainian law.</w:t>
      </w:r>
      <w:r>
        <w:rPr>
          <w:rFonts w:ascii="Arial" w:hAnsi="Arial" w:eastAsia="Arial" w:cs="Arial"/>
        </w:rPr>
      </w:r>
      <w:r>
        <w:rPr>
          <w:rFonts w:ascii="Arial" w:hAnsi="Arial" w:eastAsia="Arial" w:cs="Arial"/>
        </w:rPr>
      </w:r>
    </w:p>
    <w:p w14:paraId="0000020C">
      <w:pPr>
        <w:numPr>
          <w:ilvl w:val="0"/>
          <w:numId w:val="3"/>
        </w:numPr>
        <w:pBdr/>
        <w:shd w:val="clear" w:color="auto" w:fill="e6e6e6"/>
        <w:spacing w:line="276" w:lineRule="auto"/>
        <w:ind w:left="180"/>
        <w:rPr>
          <w:b/>
          <w:bCs/>
        </w:rPr>
      </w:pPr>
      <w:r>
        <w:rPr>
          <w:b/>
          <w:bCs/>
          <w:rtl w:val="0"/>
        </w:rPr>
        <w:t xml:space="preserve">VAT exemption in the framework of International Technical Assistance projects</w:t>
      </w:r>
      <w:r>
        <w:rPr>
          <w:b/>
          <w:bCs/>
        </w:rPr>
      </w:r>
      <w:r>
        <w:rPr>
          <w:b/>
          <w:bCs/>
        </w:rPr>
      </w:r>
    </w:p>
    <w:p w14:paraId="0000020D">
      <w:pPr>
        <w:pBdr/>
        <w:spacing w:after="240" w:before="240" w:line="276" w:lineRule="auto"/>
        <w:ind/>
        <w:jc w:val="both"/>
        <w:rPr/>
      </w:pPr>
      <w:r>
        <w:rPr>
          <w:rtl w:val="0"/>
        </w:rPr>
        <w:t xml:space="preserve">Transactions involving the supply of goods (services) within the framework of International Technical Assistance (ITA) projects a</w:t>
      </w:r>
      <w:r>
        <w:rPr>
          <w:rtl w:val="0"/>
        </w:rPr>
        <w:t xml:space="preserve">nd within the scope of an approved procurement plan for goods (services) supplied to ITA project contractors and paid for using ITA funds are exempt from VAT pursuant to paragraph 197.11 of the Tax Code of Ukraine (TCU) dated December 2, 2010, No. 2755-VI.</w:t>
      </w:r>
      <w:r/>
    </w:p>
    <w:p w14:paraId="0000020E">
      <w:pPr>
        <w:pBdr/>
        <w:spacing w:after="240" w:line="276" w:lineRule="auto"/>
        <w:ind/>
        <w:jc w:val="both"/>
        <w:rPr/>
      </w:pPr>
      <w:r>
        <w:rPr>
          <w:rtl w:val="0"/>
        </w:rPr>
        <w:t xml:space="preserve">The procedure for obtaining the VAT exemption under ITA projects is governed by the resolution № 153 of the Cabinet of Ministers of Ukraine “</w:t>
      </w:r>
      <w:r>
        <w:rPr>
          <w:rtl w:val="0"/>
        </w:rPr>
        <w:t xml:space="preserve">On the Establishment of a Unified System for Attracting, Utilizing, and Monitoring International Technical Assistance” dated February 15, 2002, which approved the Procedure for attracting, utilizing, and monitoring of ITA (hereinafter – Procedure No. 153).</w:t>
      </w:r>
      <w:r/>
    </w:p>
    <w:p w14:paraId="0000020F">
      <w:pPr>
        <w:pBdr/>
        <w:spacing w:after="240" w:line="276" w:lineRule="auto"/>
        <w:ind/>
        <w:jc w:val="both"/>
        <w:rPr/>
      </w:pPr>
      <w:r>
        <w:rPr>
          <w:rtl w:val="0"/>
        </w:rPr>
        <w:t xml:space="preserve">Projects (programs) included in annual programs under ITAs are subject to mandatory sta</w:t>
      </w:r>
      <w:r>
        <w:rPr>
          <w:rtl w:val="0"/>
        </w:rPr>
        <w:t xml:space="preserve">te registration, which serves as the basis for the accreditation of their implementers, as well as for the exercise of the right to receive the relevant benefits, privileges, and immunities provided by the legislation and international treaties of Ukraine.</w:t>
      </w:r>
      <w:r/>
    </w:p>
    <w:p w14:paraId="00000210">
      <w:pPr>
        <w:pBdr/>
        <w:spacing w:after="240" w:line="276" w:lineRule="auto"/>
        <w:ind/>
        <w:jc w:val="both"/>
        <w:rPr/>
      </w:pPr>
      <w:r>
        <w:rPr>
          <w:rtl w:val="0"/>
        </w:rPr>
        <w:t xml:space="preserve">Projects are registered by the Secretariat of the Cabinet of Ministers of Ukraine. State registration of an ITA project is confirmed by obtaining a project registration card. The form of the card is Annex 1 to Procedure No. 153.</w:t>
      </w:r>
      <w:r/>
    </w:p>
    <w:p w14:paraId="00000211">
      <w:pPr>
        <w:pBdr/>
        <w:spacing w:line="276" w:lineRule="auto"/>
        <w:ind/>
        <w:jc w:val="both"/>
        <w:rPr/>
      </w:pPr>
      <w:r>
        <w:rPr>
          <w:rtl w:val="0"/>
        </w:rPr>
        <w:t xml:space="preserve">In order to confirm the right to apply VAT exemption when carrying out transactions involving the supply of goods, works, and services within the framework of ITA project, copies of the following documents are required.</w:t>
      </w:r>
      <w:r/>
    </w:p>
    <w:p w14:paraId="00000212">
      <w:pPr>
        <w:numPr>
          <w:ilvl w:val="0"/>
          <w:numId w:val="13"/>
        </w:numPr>
        <w:pBdr/>
        <w:spacing w:line="276" w:lineRule="auto"/>
        <w:ind w:hanging="360" w:left="720"/>
        <w:jc w:val="both"/>
        <w:rPr>
          <w:rFonts w:ascii="Arial" w:hAnsi="Arial" w:eastAsia="Arial" w:cs="Arial"/>
        </w:rPr>
      </w:pPr>
      <w:r>
        <w:rPr>
          <w:rtl w:val="0"/>
        </w:rPr>
        <w:t xml:space="preserve">the Project Registration Card;</w:t>
      </w:r>
      <w:r>
        <w:rPr>
          <w:rFonts w:ascii="Arial" w:hAnsi="Arial" w:eastAsia="Arial" w:cs="Arial"/>
        </w:rPr>
      </w:r>
      <w:r>
        <w:rPr>
          <w:rFonts w:ascii="Arial" w:hAnsi="Arial" w:eastAsia="Arial" w:cs="Arial"/>
        </w:rPr>
      </w:r>
    </w:p>
    <w:p w14:paraId="00000213">
      <w:pPr>
        <w:numPr>
          <w:ilvl w:val="0"/>
          <w:numId w:val="13"/>
        </w:numPr>
        <w:pBdr/>
        <w:spacing w:line="276" w:lineRule="auto"/>
        <w:ind w:hanging="360" w:left="720"/>
        <w:jc w:val="both"/>
        <w:rPr>
          <w:rFonts w:ascii="Arial" w:hAnsi="Arial" w:eastAsia="Arial" w:cs="Arial"/>
        </w:rPr>
      </w:pPr>
      <w:r>
        <w:rPr>
          <w:rtl w:val="0"/>
        </w:rPr>
        <w:t xml:space="preserve">the Procurement Plan;</w:t>
      </w:r>
      <w:r>
        <w:rPr>
          <w:rFonts w:ascii="Arial" w:hAnsi="Arial" w:eastAsia="Arial" w:cs="Arial"/>
        </w:rPr>
      </w:r>
      <w:r>
        <w:rPr>
          <w:rFonts w:ascii="Arial" w:hAnsi="Arial" w:eastAsia="Arial" w:cs="Arial"/>
        </w:rPr>
      </w:r>
    </w:p>
    <w:p w14:paraId="00000214">
      <w:pPr>
        <w:numPr>
          <w:ilvl w:val="0"/>
          <w:numId w:val="13"/>
        </w:numPr>
        <w:pBdr/>
        <w:spacing w:after="240" w:line="276" w:lineRule="auto"/>
        <w:ind w:hanging="360" w:left="720"/>
        <w:jc w:val="both"/>
        <w:rPr>
          <w:rFonts w:ascii="Arial" w:hAnsi="Arial" w:eastAsia="Arial" w:cs="Arial"/>
        </w:rPr>
      </w:pPr>
      <w:r>
        <w:rPr>
          <w:rtl w:val="0"/>
        </w:rPr>
        <w:t xml:space="preserve">the Contract for the procurement of goods, </w:t>
      </w:r>
      <w:r>
        <w:rPr>
          <w:rtl w:val="0"/>
        </w:rPr>
        <w:t xml:space="preserve">works, and provision of services. The contract must specify that the procurement of goods, works, and provision of services is funded by the ITA project and corresponds to the category (type) of goods, works, and services specified in the procurement plan.</w:t>
      </w:r>
      <w:r>
        <w:rPr>
          <w:rFonts w:ascii="Arial" w:hAnsi="Arial" w:eastAsia="Arial" w:cs="Arial"/>
        </w:rPr>
      </w:r>
      <w:r>
        <w:rPr>
          <w:rFonts w:ascii="Arial" w:hAnsi="Arial" w:eastAsia="Arial" w:cs="Arial"/>
        </w:rPr>
      </w:r>
    </w:p>
    <w:p w14:paraId="0000021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smallCaps/>
          <w:sz w:val="24"/>
          <w:szCs w:val="24"/>
        </w:rPr>
      </w:pPr>
      <w:r/>
      <w:bookmarkStart w:id="60" w:name="_heading=h.n5q3hzqx001f"/>
      <w:r/>
      <w:bookmarkEnd w:id="60"/>
      <w:r>
        <w:rPr>
          <w:rFonts w:ascii="Calibri" w:hAnsi="Calibri" w:eastAsia="Calibri" w:cs="Calibri"/>
          <w:b/>
          <w:bCs/>
          <w:smallCaps/>
          <w:sz w:val="24"/>
          <w:szCs w:val="24"/>
        </w:rPr>
      </w:r>
      <w:r>
        <w:rPr>
          <w:rFonts w:ascii="Calibri" w:hAnsi="Calibri" w:eastAsia="Calibri" w:cs="Calibri"/>
          <w:b/>
          <w:bCs/>
          <w:smallCaps/>
          <w:sz w:val="24"/>
          <w:szCs w:val="24"/>
        </w:rPr>
      </w:r>
    </w:p>
    <w:p w14:paraId="0000021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tl w:val="0"/>
        </w:rPr>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17">
      <w:pPr>
        <w:pBdr/>
        <w:tabs>
          <w:tab w:val="left" w:leader="none" w:pos="2745"/>
        </w:tabs>
        <w:spacing/>
        <w:ind/>
        <w:rPr>
          <w:rFonts w:ascii="Calibri" w:hAnsi="Calibri" w:eastAsia="Calibri" w:cs="Calibri"/>
        </w:rPr>
      </w:pPr>
      <w:r/>
      <w:bookmarkStart w:id="61" w:name="_heading=h.60i0fkaeun8"/>
      <w:r/>
      <w:bookmarkEnd w:id="61"/>
      <w:r>
        <w:rPr>
          <w:rFonts w:ascii="Calibri" w:hAnsi="Calibri" w:eastAsia="Calibri" w:cs="Calibri"/>
        </w:rPr>
      </w:r>
      <w:r>
        <w:rPr>
          <w:rFonts w:ascii="Calibri" w:hAnsi="Calibri" w:eastAsia="Calibri" w:cs="Calibri"/>
        </w:rPr>
      </w:r>
    </w:p>
    <w:p w14:paraId="00000218">
      <w:pPr>
        <w:pBdr/>
        <w:tabs>
          <w:tab w:val="left" w:leader="none" w:pos="2745"/>
        </w:tabs>
        <w:spacing/>
        <w:ind/>
        <w:rPr>
          <w:rFonts w:ascii="Calibri" w:hAnsi="Calibri" w:eastAsia="Calibri" w:cs="Calibri"/>
        </w:rPr>
      </w:pPr>
      <w:r/>
      <w:bookmarkStart w:id="62" w:name="_heading=h.5blabgvhktfo"/>
      <w:r/>
      <w:bookmarkEnd w:id="62"/>
      <w:r>
        <w:rPr>
          <w:rFonts w:ascii="Calibri" w:hAnsi="Calibri" w:eastAsia="Calibri" w:cs="Calibri"/>
        </w:rPr>
      </w:r>
      <w:r>
        <w:rPr>
          <w:rFonts w:ascii="Calibri" w:hAnsi="Calibri" w:eastAsia="Calibri" w:cs="Calibri"/>
        </w:rPr>
      </w:r>
    </w:p>
    <w:p w14:paraId="00000219">
      <w:pPr>
        <w:pBdr/>
        <w:tabs>
          <w:tab w:val="left" w:leader="none" w:pos="2745"/>
        </w:tabs>
        <w:spacing/>
        <w:ind/>
        <w:rPr>
          <w:rFonts w:ascii="Calibri" w:hAnsi="Calibri" w:eastAsia="Calibri" w:cs="Calibri"/>
        </w:rPr>
      </w:pPr>
      <w:r/>
      <w:bookmarkStart w:id="63" w:name="_heading=h.ffroc7up0s3"/>
      <w:r/>
      <w:bookmarkEnd w:id="63"/>
      <w:r>
        <w:rPr>
          <w:rFonts w:ascii="Calibri" w:hAnsi="Calibri" w:eastAsia="Calibri" w:cs="Calibri"/>
        </w:rPr>
      </w:r>
      <w:r>
        <w:rPr>
          <w:rFonts w:ascii="Calibri" w:hAnsi="Calibri" w:eastAsia="Calibri" w:cs="Calibri"/>
        </w:rPr>
      </w:r>
    </w:p>
    <w:p w14:paraId="0000021A">
      <w:pPr>
        <w:pBdr/>
        <w:tabs>
          <w:tab w:val="left" w:leader="none" w:pos="2745"/>
        </w:tabs>
        <w:spacing/>
        <w:ind/>
        <w:rPr>
          <w:rFonts w:ascii="Calibri" w:hAnsi="Calibri" w:eastAsia="Calibri" w:cs="Calibri"/>
        </w:rPr>
      </w:pPr>
      <w:r/>
      <w:bookmarkStart w:id="64" w:name="_heading=h.bu363fce3opc"/>
      <w:r/>
      <w:bookmarkEnd w:id="64"/>
      <w:r>
        <w:rPr>
          <w:rFonts w:ascii="Calibri" w:hAnsi="Calibri" w:eastAsia="Calibri" w:cs="Calibri"/>
        </w:rPr>
      </w:r>
      <w:r>
        <w:rPr>
          <w:rFonts w:ascii="Calibri" w:hAnsi="Calibri" w:eastAsia="Calibri" w:cs="Calibri"/>
        </w:rPr>
      </w:r>
    </w:p>
    <w:p w14:paraId="0000021B">
      <w:pPr>
        <w:pBdr/>
        <w:tabs>
          <w:tab w:val="left" w:leader="none" w:pos="2745"/>
        </w:tabs>
        <w:spacing/>
        <w:ind/>
        <w:rPr>
          <w:rFonts w:ascii="Calibri" w:hAnsi="Calibri" w:eastAsia="Calibri" w:cs="Calibri"/>
        </w:rPr>
      </w:pPr>
      <w:r/>
      <w:bookmarkStart w:id="65" w:name="_heading=h.9xzsoazwxd"/>
      <w:r/>
      <w:bookmarkEnd w:id="65"/>
      <w:r>
        <w:rPr>
          <w:rFonts w:ascii="Calibri" w:hAnsi="Calibri" w:eastAsia="Calibri" w:cs="Calibri"/>
        </w:rPr>
      </w:r>
      <w:r>
        <w:rPr>
          <w:rFonts w:ascii="Calibri" w:hAnsi="Calibri" w:eastAsia="Calibri" w:cs="Calibri"/>
        </w:rPr>
      </w:r>
    </w:p>
    <w:p w14:paraId="0000021C">
      <w:pPr>
        <w:pBdr/>
        <w:tabs>
          <w:tab w:val="left" w:leader="none" w:pos="2745"/>
        </w:tabs>
        <w:spacing/>
        <w:ind/>
        <w:rPr>
          <w:rFonts w:ascii="Calibri" w:hAnsi="Calibri" w:eastAsia="Calibri" w:cs="Calibri"/>
        </w:rPr>
      </w:pPr>
      <w:r/>
      <w:bookmarkStart w:id="66" w:name="_heading=h.haolkez03b28"/>
      <w:r/>
      <w:bookmarkEnd w:id="66"/>
      <w:r>
        <w:rPr>
          <w:rFonts w:ascii="Calibri" w:hAnsi="Calibri" w:eastAsia="Calibri" w:cs="Calibri"/>
        </w:rPr>
      </w:r>
      <w:r>
        <w:rPr>
          <w:rFonts w:ascii="Calibri" w:hAnsi="Calibri" w:eastAsia="Calibri" w:cs="Calibri"/>
        </w:rPr>
      </w:r>
    </w:p>
    <w:p w14:paraId="0000021D">
      <w:pPr>
        <w:pBdr/>
        <w:tabs>
          <w:tab w:val="left" w:leader="none" w:pos="2745"/>
        </w:tabs>
        <w:spacing/>
        <w:ind/>
        <w:rPr>
          <w:rFonts w:ascii="Calibri" w:hAnsi="Calibri" w:eastAsia="Calibri" w:cs="Calibri"/>
        </w:rPr>
      </w:pPr>
      <w:r/>
      <w:bookmarkStart w:id="67" w:name="_heading=h.djgthlbpiy0u"/>
      <w:r/>
      <w:bookmarkEnd w:id="67"/>
      <w:r>
        <w:rPr>
          <w:rFonts w:ascii="Calibri" w:hAnsi="Calibri" w:eastAsia="Calibri" w:cs="Calibri"/>
        </w:rPr>
      </w:r>
      <w:r>
        <w:rPr>
          <w:rFonts w:ascii="Calibri" w:hAnsi="Calibri" w:eastAsia="Calibri" w:cs="Calibri"/>
        </w:rPr>
      </w:r>
    </w:p>
    <w:p w14:paraId="0000021E">
      <w:pPr>
        <w:pBdr/>
        <w:tabs>
          <w:tab w:val="left" w:leader="none" w:pos="2745"/>
        </w:tabs>
        <w:spacing/>
        <w:ind/>
        <w:rPr>
          <w:rFonts w:ascii="Calibri" w:hAnsi="Calibri" w:eastAsia="Calibri" w:cs="Calibri"/>
        </w:rPr>
      </w:pPr>
      <w:r/>
      <w:bookmarkStart w:id="68" w:name="_heading=h.s5u5c34dbeox"/>
      <w:r/>
      <w:bookmarkEnd w:id="68"/>
      <w:r>
        <w:rPr>
          <w:rFonts w:ascii="Calibri" w:hAnsi="Calibri" w:eastAsia="Calibri" w:cs="Calibri"/>
        </w:rPr>
      </w:r>
      <w:r>
        <w:rPr>
          <w:rFonts w:ascii="Calibri" w:hAnsi="Calibri" w:eastAsia="Calibri" w:cs="Calibri"/>
        </w:rPr>
      </w:r>
    </w:p>
    <w:p w14:paraId="0000021F">
      <w:pPr>
        <w:pBdr/>
        <w:tabs>
          <w:tab w:val="left" w:leader="none" w:pos="2745"/>
        </w:tabs>
        <w:spacing/>
        <w:ind/>
        <w:rPr>
          <w:rFonts w:ascii="Calibri" w:hAnsi="Calibri" w:eastAsia="Calibri" w:cs="Calibri"/>
        </w:rPr>
      </w:pPr>
      <w:r/>
      <w:bookmarkStart w:id="69" w:name="_heading=h.m58nm7cp146p"/>
      <w:r/>
      <w:bookmarkEnd w:id="69"/>
      <w:r>
        <w:rPr>
          <w:rFonts w:ascii="Calibri" w:hAnsi="Calibri" w:eastAsia="Calibri" w:cs="Calibri"/>
        </w:rPr>
      </w:r>
      <w:r>
        <w:rPr>
          <w:rFonts w:ascii="Calibri" w:hAnsi="Calibri" w:eastAsia="Calibri" w:cs="Calibri"/>
        </w:rPr>
      </w:r>
    </w:p>
    <w:p w14:paraId="00000220">
      <w:pPr>
        <w:pBdr/>
        <w:tabs>
          <w:tab w:val="left" w:leader="none" w:pos="2745"/>
        </w:tabs>
        <w:spacing/>
        <w:ind/>
        <w:rPr>
          <w:rFonts w:ascii="Calibri" w:hAnsi="Calibri" w:eastAsia="Calibri" w:cs="Calibri"/>
        </w:rPr>
      </w:pPr>
      <w:r/>
      <w:bookmarkStart w:id="70" w:name="_heading=h.47m1aaw0rtdv"/>
      <w:r/>
      <w:bookmarkEnd w:id="70"/>
      <w:r>
        <w:rPr>
          <w:rFonts w:ascii="Calibri" w:hAnsi="Calibri" w:eastAsia="Calibri" w:cs="Calibri"/>
        </w:rPr>
      </w:r>
      <w:r>
        <w:rPr>
          <w:rFonts w:ascii="Calibri" w:hAnsi="Calibri" w:eastAsia="Calibri" w:cs="Calibri"/>
        </w:rPr>
      </w:r>
    </w:p>
    <w:p w14:paraId="00000221">
      <w:pPr>
        <w:pBdr/>
        <w:tabs>
          <w:tab w:val="left" w:leader="none" w:pos="2745"/>
        </w:tabs>
        <w:spacing/>
        <w:ind/>
        <w:rPr>
          <w:rFonts w:ascii="Calibri" w:hAnsi="Calibri" w:eastAsia="Calibri" w:cs="Calibri"/>
        </w:rPr>
      </w:pPr>
      <w:r/>
      <w:bookmarkStart w:id="71" w:name="_heading=h.j5e63hpma4wj"/>
      <w:r/>
      <w:bookmarkEnd w:id="71"/>
      <w:r>
        <w:rPr>
          <w:rFonts w:ascii="Calibri" w:hAnsi="Calibri" w:eastAsia="Calibri" w:cs="Calibri"/>
        </w:rPr>
      </w:r>
      <w:r>
        <w:rPr>
          <w:rFonts w:ascii="Calibri" w:hAnsi="Calibri" w:eastAsia="Calibri" w:cs="Calibri"/>
        </w:rPr>
      </w:r>
    </w:p>
    <w:p w14:paraId="00000222">
      <w:pPr>
        <w:pBdr/>
        <w:tabs>
          <w:tab w:val="left" w:leader="none" w:pos="2745"/>
        </w:tabs>
        <w:spacing/>
        <w:ind/>
        <w:rPr>
          <w:rFonts w:ascii="Calibri" w:hAnsi="Calibri" w:eastAsia="Calibri" w:cs="Calibri"/>
        </w:rPr>
      </w:pPr>
      <w:r/>
      <w:bookmarkStart w:id="72" w:name="_heading=h.7kiswehusj0"/>
      <w:r/>
      <w:bookmarkEnd w:id="72"/>
      <w:r>
        <w:rPr>
          <w:rFonts w:ascii="Calibri" w:hAnsi="Calibri" w:eastAsia="Calibri" w:cs="Calibri"/>
        </w:rPr>
      </w:r>
      <w:r>
        <w:rPr>
          <w:rFonts w:ascii="Calibri" w:hAnsi="Calibri" w:eastAsia="Calibri" w:cs="Calibri"/>
        </w:rPr>
      </w:r>
    </w:p>
    <w:p w14:paraId="00000223">
      <w:pPr>
        <w:pBdr/>
        <w:tabs>
          <w:tab w:val="left" w:leader="none" w:pos="2745"/>
        </w:tabs>
        <w:spacing/>
        <w:ind/>
        <w:rPr>
          <w:rFonts w:ascii="Calibri" w:hAnsi="Calibri" w:eastAsia="Calibri" w:cs="Calibri"/>
        </w:rPr>
      </w:pPr>
      <w:r/>
      <w:bookmarkStart w:id="73" w:name="_heading=h.racrzz7a5buw"/>
      <w:r/>
      <w:bookmarkEnd w:id="73"/>
      <w:r>
        <w:rPr>
          <w:rFonts w:ascii="Calibri" w:hAnsi="Calibri" w:eastAsia="Calibri" w:cs="Calibri"/>
        </w:rPr>
      </w:r>
      <w:r>
        <w:rPr>
          <w:rFonts w:ascii="Calibri" w:hAnsi="Calibri" w:eastAsia="Calibri" w:cs="Calibri"/>
        </w:rPr>
      </w:r>
    </w:p>
    <w:p w14:paraId="00000224">
      <w:pPr>
        <w:pBdr/>
        <w:tabs>
          <w:tab w:val="left" w:leader="none" w:pos="2745"/>
        </w:tabs>
        <w:spacing/>
        <w:ind/>
        <w:rPr>
          <w:rFonts w:ascii="Calibri" w:hAnsi="Calibri" w:eastAsia="Calibri" w:cs="Calibri"/>
        </w:rPr>
      </w:pPr>
      <w:r/>
      <w:bookmarkStart w:id="74" w:name="_heading=h.fvss4agobmom"/>
      <w:r/>
      <w:bookmarkEnd w:id="74"/>
      <w:r>
        <w:rPr>
          <w:rFonts w:ascii="Calibri" w:hAnsi="Calibri" w:eastAsia="Calibri" w:cs="Calibri"/>
        </w:rPr>
      </w:r>
      <w:r>
        <w:rPr>
          <w:rFonts w:ascii="Calibri" w:hAnsi="Calibri" w:eastAsia="Calibri" w:cs="Calibri"/>
        </w:rPr>
      </w:r>
    </w:p>
    <w:p w14:paraId="00000225">
      <w:pPr>
        <w:pBdr/>
        <w:tabs>
          <w:tab w:val="left" w:leader="none" w:pos="2745"/>
        </w:tabs>
        <w:spacing/>
        <w:ind/>
        <w:rPr>
          <w:rFonts w:ascii="Calibri" w:hAnsi="Calibri" w:eastAsia="Calibri" w:cs="Calibri"/>
        </w:rPr>
      </w:pPr>
      <w:r/>
      <w:bookmarkStart w:id="75" w:name="_heading=h.ekivctcl8xck"/>
      <w:r/>
      <w:bookmarkEnd w:id="75"/>
      <w:r>
        <w:rPr>
          <w:rFonts w:ascii="Calibri" w:hAnsi="Calibri" w:eastAsia="Calibri" w:cs="Calibri"/>
        </w:rPr>
      </w:r>
      <w:r>
        <w:rPr>
          <w:rFonts w:ascii="Calibri" w:hAnsi="Calibri" w:eastAsia="Calibri" w:cs="Calibri"/>
        </w:rPr>
      </w:r>
    </w:p>
    <w:p w14:paraId="00000226">
      <w:pPr>
        <w:pBdr/>
        <w:tabs>
          <w:tab w:val="left" w:leader="none" w:pos="2745"/>
        </w:tabs>
        <w:spacing/>
        <w:ind/>
        <w:rPr>
          <w:rFonts w:ascii="Calibri" w:hAnsi="Calibri" w:eastAsia="Calibri" w:cs="Calibri"/>
        </w:rPr>
      </w:pPr>
      <w:r/>
      <w:bookmarkStart w:id="76" w:name="_heading=h.ee3ng58wlixp"/>
      <w:r/>
      <w:bookmarkEnd w:id="76"/>
      <w:r>
        <w:rPr>
          <w:rFonts w:ascii="Calibri" w:hAnsi="Calibri" w:eastAsia="Calibri" w:cs="Calibri"/>
        </w:rPr>
      </w:r>
      <w:r>
        <w:rPr>
          <w:rFonts w:ascii="Calibri" w:hAnsi="Calibri" w:eastAsia="Calibri" w:cs="Calibri"/>
        </w:rPr>
      </w:r>
    </w:p>
    <w:p w14:paraId="00000227">
      <w:pPr>
        <w:pBdr/>
        <w:tabs>
          <w:tab w:val="left" w:leader="none" w:pos="2745"/>
        </w:tabs>
        <w:spacing/>
        <w:ind/>
        <w:rPr>
          <w:rFonts w:ascii="Calibri" w:hAnsi="Calibri" w:eastAsia="Calibri" w:cs="Calibri"/>
        </w:rPr>
      </w:pPr>
      <w:r/>
      <w:bookmarkStart w:id="77" w:name="_heading=h.70z9oj87j1at"/>
      <w:r/>
      <w:bookmarkEnd w:id="77"/>
      <w:r>
        <w:rPr>
          <w:rFonts w:ascii="Calibri" w:hAnsi="Calibri" w:eastAsia="Calibri" w:cs="Calibri"/>
        </w:rPr>
      </w:r>
      <w:r>
        <w:rPr>
          <w:rFonts w:ascii="Calibri" w:hAnsi="Calibri" w:eastAsia="Calibri" w:cs="Calibri"/>
        </w:rPr>
      </w:r>
    </w:p>
    <w:p w14:paraId="7ADAEFD5">
      <w:pPr>
        <w:pBdr/>
        <w:shd w:val="nil"/>
        <w:spacing/>
        <w:ind/>
        <w:rPr>
          <w:rFonts w:ascii="Calibri" w:hAnsi="Calibri" w:eastAsia="Calibri" w:cs="Calibri"/>
        </w:rPr>
      </w:pPr>
      <w:r>
        <w:rPr>
          <w:rFonts w:ascii="Calibri" w:hAnsi="Calibri" w:eastAsia="Calibri" w:cs="Calibri"/>
        </w:rPr>
        <w:br w:type="page" w:clear="all"/>
      </w:r>
      <w:r>
        <w:rPr>
          <w:rFonts w:ascii="Calibri" w:hAnsi="Calibri" w:eastAsia="Calibri" w:cs="Calibri"/>
        </w:rPr>
      </w:r>
      <w:r>
        <w:rPr>
          <w:rFonts w:ascii="Calibri" w:hAnsi="Calibri" w:eastAsia="Calibri" w:cs="Calibri"/>
        </w:rPr>
      </w:r>
    </w:p>
    <w:p w14:paraId="0000022F">
      <w:pPr>
        <w:pBdr/>
        <w:tabs>
          <w:tab w:val="left" w:leader="none" w:pos="2745"/>
        </w:tabs>
        <w:spacing/>
        <w:ind/>
        <w:rPr>
          <w:rFonts w:ascii="Calibri" w:hAnsi="Calibri" w:eastAsia="Calibri" w:cs="Calibri"/>
        </w:rPr>
      </w:pPr>
      <w:r/>
      <w:bookmarkStart w:id="85" w:name="_heading=h.ip1m3dx6dpy3"/>
      <w:r/>
      <w:bookmarkEnd w:id="85"/>
      <w:r>
        <w:rPr>
          <w:rFonts w:ascii="Calibri" w:hAnsi="Calibri" w:eastAsia="Calibri" w:cs="Calibri"/>
        </w:rPr>
      </w:r>
      <w:r>
        <w:rPr>
          <w:rFonts w:ascii="Calibri" w:hAnsi="Calibri" w:eastAsia="Calibri" w:cs="Calibri"/>
        </w:rPr>
      </w:r>
    </w:p>
    <w:p w14:paraId="00000230">
      <w:pPr>
        <w:pBdr/>
        <w:tabs>
          <w:tab w:val="left" w:leader="none" w:pos="2745"/>
        </w:tabs>
        <w:spacing/>
        <w:ind/>
        <w:rPr>
          <w:rFonts w:ascii="Calibri" w:hAnsi="Calibri" w:eastAsia="Calibri" w:cs="Calibri"/>
        </w:rPr>
      </w:pPr>
      <w:r/>
      <w:bookmarkStart w:id="86" w:name="_heading=h.83xprmm7pboe"/>
      <w:r/>
      <w:bookmarkEnd w:id="86"/>
      <w:r>
        <w:rPr>
          <w:rFonts w:ascii="Calibri" w:hAnsi="Calibri" w:eastAsia="Calibri" w:cs="Calibri"/>
        </w:rPr>
      </w:r>
      <w:r>
        <w:rPr>
          <w:rFonts w:ascii="Calibri" w:hAnsi="Calibri" w:eastAsia="Calibri" w:cs="Calibri"/>
        </w:rPr>
      </w:r>
    </w:p>
    <w:p w14:paraId="00000231">
      <w:pPr>
        <w:widowControl w:val="false"/>
        <w:pBdr/>
        <w:spacing w:after="240" w:before="600"/>
        <w:ind w:firstLine="0" w:left="357"/>
        <w:rPr>
          <w:rFonts w:ascii="Calibri" w:hAnsi="Calibri" w:eastAsia="Calibri" w:cs="Calibri"/>
        </w:rPr>
      </w:pPr>
      <w:r/>
      <w:bookmarkStart w:id="59" w:name="_heading=h.ixaizc154b7y"/>
      <w:r/>
      <w:bookmarkEnd w:id="59"/>
      <w:r>
        <w:rPr>
          <w:rFonts w:ascii="Calibri" w:hAnsi="Calibri" w:eastAsia="Calibri" w:cs="Calibri"/>
          <w:b/>
          <w:bCs/>
          <w:smallCaps/>
          <w:sz w:val="24"/>
          <w:szCs w:val="24"/>
          <w:rtl w:val="0"/>
        </w:rPr>
        <w:t xml:space="preserve">ANNEX 2: FINANCIAL PROPOSAL</w:t>
      </w:r>
      <w:r>
        <w:rPr>
          <w:rFonts w:ascii="Calibri" w:hAnsi="Calibri" w:eastAsia="Calibri" w:cs="Calibri"/>
        </w:rPr>
      </w:r>
      <w:r>
        <w:rPr>
          <w:rFonts w:ascii="Calibri" w:hAnsi="Calibri" w:eastAsia="Calibri" w:cs="Calibri"/>
        </w:rPr>
      </w:r>
    </w:p>
    <w:sectPr>
      <w:headerReference w:type="default" r:id="rId13"/>
      <w:footerReference w:type="even" r:id="rId16"/>
      <w:footnotePr/>
      <w:endnotePr/>
      <w:type w:val="nextPage"/>
      <w:pgSz w:h="16838" w:orient="portrait" w:w="11906"/>
      <w:pgMar w:top="845" w:right="1009" w:bottom="142" w:left="1151" w:header="431" w:footer="34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Wingdings">
    <w:panose1 w:val="05000000000000000000"/>
  </w:font>
  <w:font w:name="Symbol">
    <w:panose1 w:val="05010000000000000000"/>
  </w:font>
  <w:font w:name="Courier New">
    <w:panose1 w:val="02070309020205020404"/>
  </w:font>
  <w:font w:name="Noto Sans Symbols">
    <w:panose1 w:val="02020702060506020403"/>
  </w:font>
  <w:font w:name="Georgia">
    <w:panose1 w:val="02040502050405020303"/>
  </w:font>
  <w:font w:name="Times">
    <w:panose1 w:val="02020603050405020304"/>
  </w:font>
  <w:font w:name="Garamond">
    <w:panose1 w:val="02020603050405020304"/>
  </w:font>
  <w:font w:name="Times New Roman">
    <w:panose1 w:val="02020603050405020304"/>
  </w:font>
  <w:font w:name="Calibri">
    <w:panose1 w:val="020F0502020204030204"/>
  </w:font>
  <w:font w:name="Helvetica Neue">
    <w:panose1 w:val="02020702060506020403"/>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639"/>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righ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DAJ_M010_v13</w:t>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Novembre 2024</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24C">
    <w:pPr>
      <w:pBdr/>
      <w:tabs>
        <w:tab w:val="center" w:leader="none" w:pos="4153"/>
        <w:tab w:val="right" w:leader="none" w:pos="8306"/>
        <w:tab w:val="right" w:leader="none" w:pos="9746"/>
      </w:tabs>
      <w:spacing w:line="240" w:lineRule="auto"/>
      <w:ind/>
      <w:rPr>
        <w:rFonts w:ascii="Calibri" w:hAnsi="Calibri" w:eastAsia="Calibri" w:cs="Calibri"/>
        <w:sz w:val="16"/>
        <w:szCs w:val="16"/>
      </w:rPr>
    </w:pPr>
    <w:r>
      <w:rPr>
        <w:rFonts w:ascii="Calibri" w:hAnsi="Calibri" w:eastAsia="Calibri" w:cs="Calibri"/>
        <w:sz w:val="16"/>
        <w:szCs w:val="16"/>
        <w:rtl w:val="0"/>
      </w:rPr>
      <w:br/>
      <w:t xml:space="preserve">Expertise France </w:t>
      <w:br/>
      <w:t xml:space="preserve">SIRET : 808 734 792 00035</w:t>
    </w:r>
    <w:r>
      <w:rPr>
        <w:rFonts w:ascii="Calibri" w:hAnsi="Calibri" w:eastAsia="Calibri" w:cs="Calibri"/>
        <w:sz w:val="16"/>
        <w:szCs w:val="16"/>
      </w:rPr>
    </w:r>
    <w:r>
      <w:rPr>
        <w:rFonts w:ascii="Calibri" w:hAnsi="Calibri" w:eastAsia="Calibri" w:cs="Calibri"/>
        <w:sz w:val="16"/>
        <w:szCs w:val="16"/>
      </w:rPr>
    </w:r>
  </w:p>
  <w:p w14:paraId="0000024D">
    <w:pPr>
      <w:pBdr/>
      <w:tabs>
        <w:tab w:val="center" w:leader="none" w:pos="4536"/>
        <w:tab w:val="right" w:leader="none" w:pos="9072"/>
      </w:tabs>
      <w:spacing w:line="240" w:lineRule="auto"/>
      <w:ind/>
      <w:rPr>
        <w:rFonts w:ascii="Calibri" w:hAnsi="Calibri" w:eastAsia="Calibri" w:cs="Calibri"/>
        <w:sz w:val="22"/>
        <w:szCs w:val="22"/>
      </w:rPr>
    </w:pPr>
    <w:r>
      <w:rPr>
        <w:rFonts w:ascii="Calibri" w:hAnsi="Calibri" w:eastAsia="Calibri" w:cs="Calibri"/>
        <w:sz w:val="16"/>
        <w:szCs w:val="16"/>
        <w:rtl w:val="0"/>
      </w:rPr>
      <w:t xml:space="preserve">40, Boulevard de Port-Royal - 75005 Paris – France</w:t>
    </w:r>
    <w:r>
      <w:rPr>
        <w:rFonts w:ascii="Calibri" w:hAnsi="Calibri" w:eastAsia="Calibri" w:cs="Calibri"/>
        <w:sz w:val="22"/>
        <w:szCs w:val="22"/>
      </w:rPr>
    </w:r>
    <w:r>
      <w:rPr>
        <w:rFonts w:ascii="Calibri" w:hAnsi="Calibri" w:eastAsia="Calibri" w:cs="Calibri"/>
        <w:sz w:val="22"/>
        <w:szCs w:val="22"/>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36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id="2">
    <w:p w14:paraId="000002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hanging="284" w:left="284"/>
        <w:jc w:val="both"/>
        <w:rPr>
          <w:rFonts w:ascii="Calibri" w:hAnsi="Calibri" w:eastAsia="Calibri" w:cs="Calibri"/>
          <w:b w:val="0"/>
          <w:bCs w:val="0"/>
          <w:i w:val="0"/>
          <w:iCs w:val="0"/>
          <w:smallCaps w:val="0"/>
          <w:strike w:val="0"/>
          <w:color w:val="000000"/>
          <w:sz w:val="18"/>
          <w:szCs w:val="18"/>
          <w:u w:val="none"/>
          <w:shd w:val="clear" w:color="auto" w:fill="auto"/>
          <w:vertAlign w:val="baseline"/>
        </w:rPr>
      </w:pPr>
      <w:r>
        <w:rPr>
          <w:vertAlign w:val="superscript"/>
        </w:rPr>
        <w:footnoteRef/>
      </w: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Incoterms 2010 of the International Chamber of Commerce are the legal clauses covering the delivery of supplies, transfer of risk and insurance (the clauses are available for sale at </w:t>
      </w:r>
      <w:hyperlink r:id="rId1" w:tooltip="http://www.iccwbo.org/incoterms/" w:history="1">
        <w:r>
          <w:rPr>
            <w:rFonts w:ascii="Calibri" w:hAnsi="Calibri" w:eastAsia="Calibri" w:cs="Calibri"/>
            <w:b w:val="0"/>
            <w:bCs w:val="0"/>
            <w:i w:val="0"/>
            <w:iCs w:val="0"/>
            <w:smallCaps w:val="0"/>
            <w:strike w:val="0"/>
            <w:color w:val="0000ff"/>
            <w:sz w:val="18"/>
            <w:szCs w:val="18"/>
            <w:u w:val="single"/>
            <w:shd w:val="clear" w:color="auto" w:fill="auto"/>
            <w:vertAlign w:val="baseline"/>
            <w:rtl w:val="0"/>
          </w:rPr>
          <w:t xml:space="preserve">http://www.iccwbo.org/incoterms/</w:t>
        </w:r>
      </w:hyperlink>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18"/>
          <w:szCs w:val="18"/>
          <w:u w:val="none"/>
          <w:shd w:val="clear" w:color="auto" w:fill="auto"/>
          <w:vertAlign w:val="baseline"/>
        </w:rPr>
      </w:r>
      <w:r>
        <w:rPr>
          <w:rFonts w:ascii="Calibri" w:hAnsi="Calibri" w:eastAsia="Calibri" w:cs="Calibri"/>
          <w:b w:val="0"/>
          <w:bCs w:val="0"/>
          <w:i w:val="0"/>
          <w:iCs w:val="0"/>
          <w:smallCaps w:val="0"/>
          <w:strike w:val="0"/>
          <w:color w:val="000000"/>
          <w:sz w:val="18"/>
          <w:szCs w:val="18"/>
          <w:u w:val="none"/>
          <w:shd w:val="clear" w:color="auto" w:fill="auto"/>
          <w:vertAlign w:val="baseline"/>
        </w:rPr>
      </w:r>
    </w:p>
  </w:footnote>
  <w:footnote w:id="3">
    <w:p w14:paraId="000002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Times" w:hAnsi="Times" w:eastAsia="Times" w:cs="Times"/>
          <w:b w:val="0"/>
          <w:bCs w:val="0"/>
          <w:i w:val="0"/>
          <w:iCs w:val="0"/>
          <w:smallCaps w:val="0"/>
          <w:strike w:val="0"/>
          <w:color w:val="000000"/>
          <w:sz w:val="20"/>
          <w:szCs w:val="20"/>
          <w:u w:val="none"/>
          <w:shd w:val="clear" w:color="auto" w:fill="auto"/>
          <w:vertAlign w:val="baseline"/>
        </w:rPr>
      </w:pPr>
      <w:r>
        <w:rPr>
          <w:vertAlign w:val="superscript"/>
        </w:rPr>
        <w:footnoteRef/>
      </w:r>
      <w:r>
        <w:rPr>
          <w:rFonts w:ascii="Times" w:hAnsi="Times" w:eastAsia="Times" w:cs="Times"/>
          <w:b w:val="0"/>
          <w:bCs w:val="0"/>
          <w:i w:val="0"/>
          <w:iCs w:val="0"/>
          <w:smallCaps w:val="0"/>
          <w:strike w:val="0"/>
          <w:color w:val="000000"/>
          <w:sz w:val="20"/>
          <w:szCs w:val="20"/>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Prohibited practices as defined by the Agence Française de Développement group are defined below: </w:t>
      </w:r>
      <w:hyperlink r:id="rId2" w:tooltip="https://www.afd.fr/en/ressources/afd-groups-policy-prevent-and-combat-prohibited-practices-2020" w:history="1">
        <w:r>
          <w:rPr>
            <w:rFonts w:ascii="Calibri" w:hAnsi="Calibri" w:eastAsia="Calibri" w:cs="Calibri"/>
            <w:b w:val="0"/>
            <w:bCs w:val="0"/>
            <w:i w:val="0"/>
            <w:iCs w:val="0"/>
            <w:smallCaps w:val="0"/>
            <w:strike w:val="0"/>
            <w:color w:val="0000ff"/>
            <w:sz w:val="20"/>
            <w:szCs w:val="20"/>
            <w:u w:val="single"/>
            <w:shd w:val="clear" w:color="auto" w:fill="auto"/>
            <w:vertAlign w:val="baseline"/>
            <w:rtl w:val="0"/>
          </w:rPr>
          <w:t xml:space="preserve">https://www.afd.fr/en/ressources/afd-groups-policy-prevent-and-combat-prohibited-practices-2020</w:t>
        </w:r>
      </w:hyperlink>
      <w:r>
        <w:rPr>
          <w:rFonts w:ascii="Times" w:hAnsi="Times" w:eastAsia="Times" w:cs="Times"/>
          <w:b w:val="0"/>
          <w:bCs w:val="0"/>
          <w:i w:val="0"/>
          <w:iCs w:val="0"/>
          <w:smallCaps w:val="0"/>
          <w:strike w:val="0"/>
          <w:color w:val="000000"/>
          <w:sz w:val="20"/>
          <w:szCs w:val="20"/>
          <w:u w:val="none"/>
          <w:shd w:val="clear" w:color="auto" w:fill="auto"/>
          <w:vertAlign w:val="baseline"/>
        </w:rPr>
      </w:r>
      <w:r>
        <w:rPr>
          <w:rFonts w:ascii="Times" w:hAnsi="Times" w:eastAsia="Times" w:cs="Times"/>
          <w:b w:val="0"/>
          <w:bCs w:val="0"/>
          <w:i w:val="0"/>
          <w:iCs w:val="0"/>
          <w:smallCaps w:val="0"/>
          <w:strike w:val="0"/>
          <w:color w:val="000000"/>
          <w:sz w:val="20"/>
          <w:szCs w:val="20"/>
          <w:u w:val="none"/>
          <w:shd w:val="clear" w:color="auto" w:fill="auto"/>
          <w:vertAlign w:val="baseline"/>
        </w:rPr>
      </w:r>
    </w:p>
  </w:footnote>
  <w:footnote w:id="4">
    <w:p w14:paraId="00000234">
      <w:pPr>
        <w:pBdr/>
        <w:spacing/>
        <w:ind/>
        <w:rPr>
          <w:rFonts w:ascii="Calibri" w:hAnsi="Calibri" w:eastAsia="Calibri" w:cs="Calibri"/>
          <w:sz w:val="24"/>
          <w:szCs w:val="24"/>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sz w:val="24"/>
          <w:szCs w:val="24"/>
        </w:rPr>
      </w:r>
      <w:r>
        <w:rPr>
          <w:rFonts w:ascii="Calibri" w:hAnsi="Calibri" w:eastAsia="Calibri" w:cs="Calibri"/>
          <w:sz w:val="24"/>
          <w:szCs w:val="24"/>
        </w:rPr>
      </w:r>
    </w:p>
  </w:footnote>
  <w:footnote w:id="5">
    <w:p w14:paraId="00000235">
      <w:pPr>
        <w:pBdr/>
        <w:spacing/>
        <w:ind/>
        <w:rPr>
          <w:rFonts w:ascii="Calibri" w:hAnsi="Calibri" w:eastAsia="Calibri" w:cs="Calibri"/>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rPr>
      </w:r>
      <w:r>
        <w:rPr>
          <w:rFonts w:ascii="Calibri" w:hAnsi="Calibri" w:eastAsia="Calibri" w:cs="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42"/>
        <w:tab w:val="center" w:leader="none" w:pos="4536"/>
        <w:tab w:val="right" w:leader="none" w:pos="9072"/>
      </w:tabs>
      <w:spacing w:after="0" w:before="0" w:line="240" w:lineRule="auto"/>
      <w:ind w:right="0" w:firstLine="0" w:left="-426"/>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2929" cy="84483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2929" cy="84483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0.15pt;height:66.52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4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993"/>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2394444" cy="1223827"/>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2394444" cy="1223827"/>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0669" cy="843675"/>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0669" cy="84367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Table of contents</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6"/>
        <w:szCs w:val="6"/>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6"/>
        <w:szCs w:val="6"/>
        <w:u w:val="single"/>
        <w:shd w:val="clear" w:color="auto" w:fill="auto"/>
        <w:vertAlign w:val="baseline"/>
      </w:rPr>
    </w:r>
    <w:r>
      <w:rPr>
        <w:rFonts w:ascii="Calibri" w:hAnsi="Calibri" w:eastAsia="Calibri" w:cs="Calibri"/>
        <w:b w:val="0"/>
        <w:bCs w:val="0"/>
        <w:i w:val="0"/>
        <w:iCs w:val="0"/>
        <w:smallCaps w:val="0"/>
        <w:strike w:val="0"/>
        <w:color w:val="000000"/>
        <w:sz w:val="6"/>
        <w:szCs w:val="6"/>
        <w:u w:val="single"/>
        <w:shd w:val="clear" w:color="auto" w:fill="auto"/>
        <w:vertAlign w:val="baseline"/>
      </w:rPr>
    </w:r>
  </w:p>
  <w:p w14:paraId="000002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88246" cy="862881"/>
              <wp:effectExtent l="0" t="0" r="0" b="0"/>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88246" cy="862881"/>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Special conditions/commitment procedure</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555872" cy="795223"/>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555872" cy="795223"/>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w:t>
      <w:tab/>
      <w:t xml:space="preserve">ANNEXES</w:t>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firstLine="0" w:left="0"/>
      </w:pPr>
      <w:rPr>
        <w:rFonts w:ascii="Arial" w:hAnsi="Arial" w:eastAsia="Arial" w:cs="Arial"/>
        <w:b w:val="0"/>
        <w:bCs w:val="0"/>
        <w:i w:val="0"/>
        <w:iCs w:val="0"/>
        <w:smallCaps w:val="0"/>
        <w:strike w:val="0"/>
        <w:color w:val="000000"/>
        <w:sz w:val="20"/>
        <w:szCs w:val="20"/>
        <w:vertAlign w:val="baseline"/>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3">
    <w:lvl w:ilvl="0">
      <w:isLgl w:val="false"/>
      <w:lvlJc w:val="left"/>
      <w:lvlText w:val="▪"/>
      <w:numFmt w:val="bullet"/>
      <w:pPr>
        <w:pBdr/>
        <w:spacing/>
        <w:ind w:hanging="432" w:left="994"/>
      </w:pPr>
      <w:rPr>
        <w:rFonts w:ascii="Noto Sans Symbols" w:hAnsi="Noto Sans Symbols" w:eastAsia="Noto Sans Symbols" w:cs="Noto Sans Symbols"/>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Calibri" w:hAnsi="Calibri" w:eastAsia="Calibri" w:cs="Calibri"/>
      </w:rPr>
      <w:start w:val="0"/>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4">
    <w:lvl w:ilvl="0">
      <w:isLgl w:val="false"/>
      <w:lvlJc w:val="left"/>
      <w:lvlText w:val="▪"/>
      <w:numFmt w:val="bullet"/>
      <w:pPr>
        <w:pBdr/>
        <w:spacing/>
        <w:ind w:hanging="360" w:left="1428"/>
      </w:pPr>
      <w:rPr>
        <w:rFonts w:ascii="Noto Sans Symbols" w:hAnsi="Noto Sans Symbols" w:eastAsia="Noto Sans Symbols" w:cs="Noto Sans Symbols"/>
      </w:rPr>
      <w:start w:val="1"/>
      <w:suff w:val="tab"/>
    </w:lvl>
    <w:lvl w:ilvl="1">
      <w:isLgl w:val="false"/>
      <w:lvlJc w:val="left"/>
      <w:lvlText w:val="o"/>
      <w:numFmt w:val="bullet"/>
      <w:pPr>
        <w:pBdr/>
        <w:spacing/>
        <w:ind w:hanging="360" w:left="2148"/>
      </w:pPr>
      <w:rPr>
        <w:rFonts w:ascii="Courier New" w:hAnsi="Courier New" w:eastAsia="Courier New" w:cs="Courier New"/>
      </w:rPr>
      <w:start w:val="1"/>
      <w:suff w:val="tab"/>
    </w:lvl>
    <w:lvl w:ilvl="2">
      <w:isLgl w:val="false"/>
      <w:lvlJc w:val="left"/>
      <w:lvlText w:val="▪"/>
      <w:numFmt w:val="bullet"/>
      <w:pPr>
        <w:pBdr/>
        <w:spacing/>
        <w:ind w:hanging="360" w:left="2868"/>
      </w:pPr>
      <w:rPr>
        <w:rFonts w:ascii="Noto Sans Symbols" w:hAnsi="Noto Sans Symbols" w:eastAsia="Noto Sans Symbols" w:cs="Noto Sans Symbols"/>
      </w:rPr>
      <w:start w:val="1"/>
      <w:suff w:val="tab"/>
    </w:lvl>
    <w:lvl w:ilvl="3">
      <w:isLgl w:val="false"/>
      <w:lvlJc w:val="left"/>
      <w:lvlText w:val="●"/>
      <w:numFmt w:val="bullet"/>
      <w:pPr>
        <w:pBdr/>
        <w:spacing/>
        <w:ind w:hanging="360" w:left="3588"/>
      </w:pPr>
      <w:rPr>
        <w:rFonts w:ascii="Noto Sans Symbols" w:hAnsi="Noto Sans Symbols" w:eastAsia="Noto Sans Symbols" w:cs="Noto Sans Symbols"/>
      </w:rPr>
      <w:start w:val="1"/>
      <w:suff w:val="tab"/>
    </w:lvl>
    <w:lvl w:ilvl="4">
      <w:isLgl w:val="false"/>
      <w:lvlJc w:val="left"/>
      <w:lvlText w:val="o"/>
      <w:numFmt w:val="bullet"/>
      <w:pPr>
        <w:pBdr/>
        <w:spacing/>
        <w:ind w:hanging="360" w:left="4308"/>
      </w:pPr>
      <w:rPr>
        <w:rFonts w:ascii="Courier New" w:hAnsi="Courier New" w:eastAsia="Courier New" w:cs="Courier New"/>
      </w:rPr>
      <w:start w:val="1"/>
      <w:suff w:val="tab"/>
    </w:lvl>
    <w:lvl w:ilvl="5">
      <w:isLgl w:val="false"/>
      <w:lvlJc w:val="left"/>
      <w:lvlText w:val="▪"/>
      <w:numFmt w:val="bullet"/>
      <w:pPr>
        <w:pBdr/>
        <w:spacing/>
        <w:ind w:hanging="360" w:left="5028"/>
      </w:pPr>
      <w:rPr>
        <w:rFonts w:ascii="Noto Sans Symbols" w:hAnsi="Noto Sans Symbols" w:eastAsia="Noto Sans Symbols" w:cs="Noto Sans Symbols"/>
      </w:rPr>
      <w:start w:val="1"/>
      <w:suff w:val="tab"/>
    </w:lvl>
    <w:lvl w:ilvl="6">
      <w:isLgl w:val="false"/>
      <w:lvlJc w:val="left"/>
      <w:lvlText w:val="●"/>
      <w:numFmt w:val="bullet"/>
      <w:pPr>
        <w:pBdr/>
        <w:spacing/>
        <w:ind w:hanging="360" w:left="5748"/>
      </w:pPr>
      <w:rPr>
        <w:rFonts w:ascii="Noto Sans Symbols" w:hAnsi="Noto Sans Symbols" w:eastAsia="Noto Sans Symbols" w:cs="Noto Sans Symbols"/>
      </w:rPr>
      <w:start w:val="1"/>
      <w:suff w:val="tab"/>
    </w:lvl>
    <w:lvl w:ilvl="7">
      <w:isLgl w:val="false"/>
      <w:lvlJc w:val="left"/>
      <w:lvlText w:val="o"/>
      <w:numFmt w:val="bullet"/>
      <w:pPr>
        <w:pBdr/>
        <w:spacing/>
        <w:ind w:hanging="360" w:left="6468"/>
      </w:pPr>
      <w:rPr>
        <w:rFonts w:ascii="Courier New" w:hAnsi="Courier New" w:eastAsia="Courier New" w:cs="Courier New"/>
      </w:rPr>
      <w:start w:val="1"/>
      <w:suff w:val="tab"/>
    </w:lvl>
    <w:lvl w:ilvl="8">
      <w:isLgl w:val="false"/>
      <w:lvlJc w:val="left"/>
      <w:lvlText w:val="▪"/>
      <w:numFmt w:val="bullet"/>
      <w:pPr>
        <w:pBdr/>
        <w:spacing/>
        <w:ind w:hanging="360" w:left="7188"/>
      </w:pPr>
      <w:rPr>
        <w:rFonts w:ascii="Noto Sans Symbols" w:hAnsi="Noto Sans Symbols" w:eastAsia="Noto Sans Symbols" w:cs="Noto Sans Symbols"/>
      </w:rPr>
      <w:start w:val="1"/>
      <w:suff w:val="tab"/>
    </w:lvl>
  </w:abstractNum>
  <w:abstractNum w:abstractNumId="5">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6">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7">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9">
    <w:lvl w:ilvl="0">
      <w:isLgl w:val="false"/>
      <w:lvlJc w:val="left"/>
      <w:lvlText w:val="▪"/>
      <w:numFmt w:val="bullet"/>
      <w:pPr>
        <w:pBdr/>
        <w:spacing/>
        <w:ind w:hanging="360" w:left="3240"/>
      </w:pPr>
      <w:rPr>
        <w:rFonts w:ascii="Noto Sans Symbols" w:hAnsi="Noto Sans Symbols" w:eastAsia="Noto Sans Symbols" w:cs="Noto Sans Symbols"/>
      </w:rPr>
      <w:start w:val="1"/>
      <w:suff w:val="tab"/>
    </w:lvl>
    <w:lvl w:ilvl="1">
      <w:isLgl w:val="false"/>
      <w:lvlJc w:val="left"/>
      <w:lvlText w:val="o"/>
      <w:numFmt w:val="bullet"/>
      <w:pPr>
        <w:pBdr/>
        <w:spacing/>
        <w:ind w:hanging="360" w:left="3960"/>
      </w:pPr>
      <w:rPr>
        <w:rFonts w:ascii="Courier New" w:hAnsi="Courier New" w:eastAsia="Courier New" w:cs="Courier New"/>
      </w:rPr>
      <w:start w:val="1"/>
      <w:suff w:val="tab"/>
    </w:lvl>
    <w:lvl w:ilvl="2">
      <w:isLgl w:val="false"/>
      <w:lvlJc w:val="left"/>
      <w:lvlText w:val="▪"/>
      <w:numFmt w:val="bullet"/>
      <w:pPr>
        <w:pBdr/>
        <w:spacing/>
        <w:ind w:hanging="360" w:left="4680"/>
      </w:pPr>
      <w:rPr>
        <w:rFonts w:ascii="Noto Sans Symbols" w:hAnsi="Noto Sans Symbols" w:eastAsia="Noto Sans Symbols" w:cs="Noto Sans Symbols"/>
      </w:rPr>
      <w:start w:val="1"/>
      <w:suff w:val="tab"/>
    </w:lvl>
    <w:lvl w:ilvl="3">
      <w:isLgl w:val="false"/>
      <w:lvlJc w:val="left"/>
      <w:lvlText w:val="●"/>
      <w:numFmt w:val="bullet"/>
      <w:pPr>
        <w:pBdr/>
        <w:spacing/>
        <w:ind w:hanging="360" w:left="5400"/>
      </w:pPr>
      <w:rPr>
        <w:rFonts w:ascii="Noto Sans Symbols" w:hAnsi="Noto Sans Symbols" w:eastAsia="Noto Sans Symbols" w:cs="Noto Sans Symbols"/>
      </w:rPr>
      <w:start w:val="1"/>
      <w:suff w:val="tab"/>
    </w:lvl>
    <w:lvl w:ilvl="4">
      <w:isLgl w:val="false"/>
      <w:lvlJc w:val="left"/>
      <w:lvlText w:val="o"/>
      <w:numFmt w:val="bullet"/>
      <w:pPr>
        <w:pBdr/>
        <w:spacing/>
        <w:ind w:hanging="360" w:left="6120"/>
      </w:pPr>
      <w:rPr>
        <w:rFonts w:ascii="Courier New" w:hAnsi="Courier New" w:eastAsia="Courier New" w:cs="Courier New"/>
      </w:rPr>
      <w:start w:val="1"/>
      <w:suff w:val="tab"/>
    </w:lvl>
    <w:lvl w:ilvl="5">
      <w:isLgl w:val="false"/>
      <w:lvlJc w:val="left"/>
      <w:lvlText w:val="▪"/>
      <w:numFmt w:val="bullet"/>
      <w:pPr>
        <w:pBdr/>
        <w:spacing/>
        <w:ind w:hanging="360" w:left="6840"/>
      </w:pPr>
      <w:rPr>
        <w:rFonts w:ascii="Noto Sans Symbols" w:hAnsi="Noto Sans Symbols" w:eastAsia="Noto Sans Symbols" w:cs="Noto Sans Symbols"/>
      </w:rPr>
      <w:start w:val="1"/>
      <w:suff w:val="tab"/>
    </w:lvl>
    <w:lvl w:ilvl="6">
      <w:isLgl w:val="false"/>
      <w:lvlJc w:val="left"/>
      <w:lvlText w:val="●"/>
      <w:numFmt w:val="bullet"/>
      <w:pPr>
        <w:pBdr/>
        <w:spacing/>
        <w:ind w:hanging="360" w:left="7560"/>
      </w:pPr>
      <w:rPr>
        <w:rFonts w:ascii="Noto Sans Symbols" w:hAnsi="Noto Sans Symbols" w:eastAsia="Noto Sans Symbols" w:cs="Noto Sans Symbols"/>
      </w:rPr>
      <w:start w:val="1"/>
      <w:suff w:val="tab"/>
    </w:lvl>
    <w:lvl w:ilvl="7">
      <w:isLgl w:val="false"/>
      <w:lvlJc w:val="left"/>
      <w:lvlText w:val="o"/>
      <w:numFmt w:val="bullet"/>
      <w:pPr>
        <w:pBdr/>
        <w:spacing/>
        <w:ind w:hanging="360" w:left="8280"/>
      </w:pPr>
      <w:rPr>
        <w:rFonts w:ascii="Courier New" w:hAnsi="Courier New" w:eastAsia="Courier New" w:cs="Courier New"/>
      </w:rPr>
      <w:start w:val="1"/>
      <w:suff w:val="tab"/>
    </w:lvl>
    <w:lvl w:ilvl="8">
      <w:isLgl w:val="false"/>
      <w:lvlJc w:val="left"/>
      <w:lvlText w:val="▪"/>
      <w:numFmt w:val="bullet"/>
      <w:pPr>
        <w:pBdr/>
        <w:spacing/>
        <w:ind w:hanging="360" w:left="9000"/>
      </w:pPr>
      <w:rPr>
        <w:rFonts w:ascii="Noto Sans Symbols" w:hAnsi="Noto Sans Symbols" w:eastAsia="Noto Sans Symbols" w:cs="Noto Sans Symbols"/>
      </w:rPr>
      <w:start w:val="1"/>
      <w:suff w:val="tab"/>
    </w:lvl>
  </w:abstractNum>
  <w:abstractNum w:abstractNumId="10">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1">
    <w:lvl w:ilvl="0">
      <w:isLgl w:val="false"/>
      <w:lvlJc w:val="left"/>
      <w:lvlText w:val="⮚"/>
      <w:numFmt w:val="bullet"/>
      <w:pPr>
        <w:pBdr/>
        <w:spacing/>
        <w:ind w:hanging="360" w:left="720"/>
      </w:pPr>
      <w:rPr>
        <w:rFonts w:ascii="Noto Sans Symbols" w:hAnsi="Noto Sans Symbols" w:eastAsia="Noto Sans Symbols" w:cs="Noto Sans Symbols"/>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2">
    <w:lvl w:ilvl="0">
      <w:isLgl w:val="false"/>
      <w:lvlJc w:val="left"/>
      <w:lvlText w:val="-"/>
      <w:numFmt w:val="bullet"/>
      <w:pPr>
        <w:pBdr/>
        <w:spacing/>
        <w:ind w:hanging="360" w:left="1287"/>
      </w:pPr>
      <w:rPr>
        <w:rFonts w:ascii="Calibri" w:hAnsi="Calibri" w:eastAsia="Calibri" w:cs="Calibri"/>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3">
    <w:lvl w:ilvl="0">
      <w:isLgl w:val="false"/>
      <w:lvlJc w:val="left"/>
      <w:lvlText w:val="●"/>
      <w:numFmt w:val="bullet"/>
      <w:pPr>
        <w:pBdr/>
        <w:spacing/>
        <w:ind w:hanging="283" w:left="283"/>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4">
    <w:lvl w:ilvl="0">
      <w:isLgl w:val="false"/>
      <w:lvlJc w:val="left"/>
      <w:lvlText w:val="●"/>
      <w:numFmt w:val="bullet"/>
      <w:pPr>
        <w:pBdr/>
        <w:spacing/>
        <w:ind w:hanging="360" w:left="720"/>
      </w:pPr>
      <w:rPr>
        <w:rFonts w:ascii="Noto Sans Symbols" w:hAnsi="Noto Sans Symbols" w:eastAsia="Noto Sans Symbols" w:cs="Noto Sans Symbol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5">
    <w:lvl w:ilvl="0">
      <w:isLgl w:val="false"/>
      <w:lvlJc w:val="left"/>
      <w:lvlText w:val="●"/>
      <w:numFmt w:val="bullet"/>
      <w:pPr>
        <w:pBdr/>
        <w:spacing/>
        <w:ind w:hanging="360" w:left="360"/>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6">
    <w:lvl w:ilvl="0">
      <w:isLgl w:val="false"/>
      <w:lvlJc w:val="left"/>
      <w:lvlText w:val="-"/>
      <w:numFmt w:val="bullet"/>
      <w:pPr>
        <w:pBdr/>
        <w:spacing/>
        <w:ind w:hanging="360" w:left="720"/>
      </w:pPr>
      <w:rPr>
        <w:rFonts w:ascii="Calibri" w:hAnsi="Calibri" w:eastAsia="Calibri" w:cs="Calibri"/>
      </w:rPr>
      <w:start w:val="6"/>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7">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8">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9">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0">
    <w:lvl w:ilvl="0">
      <w:isLgl w:val="false"/>
      <w:lvlJc w:val="left"/>
      <w:lvlText w:val="%1."/>
      <w:numFmt w:val="decimal"/>
      <w:pPr>
        <w:pBdr/>
        <w:spacing/>
        <w:ind w:hanging="432" w:left="994"/>
      </w:pPr>
      <w:rPr>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1">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2">
    <w:lvl w:ilvl="0">
      <w:isLgl w:val="false"/>
      <w:lvlJc w:val="left"/>
      <w:lvlText w:val="●"/>
      <w:numFmt w:val="bullet"/>
      <w:pPr>
        <w:pBdr/>
        <w:spacing/>
        <w:ind w:hanging="360" w:left="1281"/>
      </w:pPr>
      <w:rPr>
        <w:rFonts w:ascii="Noto Sans Symbols" w:hAnsi="Noto Sans Symbols" w:eastAsia="Noto Sans Symbols" w:cs="Noto Sans Symbols"/>
      </w:rPr>
      <w:start w:val="1"/>
      <w:suff w:val="tab"/>
    </w:lvl>
    <w:lvl w:ilvl="1">
      <w:isLgl w:val="false"/>
      <w:lvlJc w:val="left"/>
      <w:lvlText w:val="o"/>
      <w:numFmt w:val="bullet"/>
      <w:pPr>
        <w:pBdr/>
        <w:spacing/>
        <w:ind w:hanging="360" w:left="2001"/>
      </w:pPr>
      <w:rPr>
        <w:rFonts w:ascii="Courier New" w:hAnsi="Courier New" w:eastAsia="Courier New" w:cs="Courier New"/>
      </w:rPr>
      <w:start w:val="1"/>
      <w:suff w:val="tab"/>
    </w:lvl>
    <w:lvl w:ilvl="2">
      <w:isLgl w:val="false"/>
      <w:lvlJc w:val="left"/>
      <w:lvlText w:val="▪"/>
      <w:numFmt w:val="bullet"/>
      <w:pPr>
        <w:pBdr/>
        <w:spacing/>
        <w:ind w:hanging="360" w:left="2721"/>
      </w:pPr>
      <w:rPr>
        <w:rFonts w:ascii="Noto Sans Symbols" w:hAnsi="Noto Sans Symbols" w:eastAsia="Noto Sans Symbols" w:cs="Noto Sans Symbols"/>
      </w:rPr>
      <w:start w:val="1"/>
      <w:suff w:val="tab"/>
    </w:lvl>
    <w:lvl w:ilvl="3">
      <w:isLgl w:val="false"/>
      <w:lvlJc w:val="left"/>
      <w:lvlText w:val="●"/>
      <w:numFmt w:val="bullet"/>
      <w:pPr>
        <w:pBdr/>
        <w:spacing/>
        <w:ind w:hanging="360" w:left="3441"/>
      </w:pPr>
      <w:rPr>
        <w:rFonts w:ascii="Noto Sans Symbols" w:hAnsi="Noto Sans Symbols" w:eastAsia="Noto Sans Symbols" w:cs="Noto Sans Symbols"/>
      </w:rPr>
      <w:start w:val="1"/>
      <w:suff w:val="tab"/>
    </w:lvl>
    <w:lvl w:ilvl="4">
      <w:isLgl w:val="false"/>
      <w:lvlJc w:val="left"/>
      <w:lvlText w:val="o"/>
      <w:numFmt w:val="bullet"/>
      <w:pPr>
        <w:pBdr/>
        <w:spacing/>
        <w:ind w:hanging="360" w:left="4161"/>
      </w:pPr>
      <w:rPr>
        <w:rFonts w:ascii="Courier New" w:hAnsi="Courier New" w:eastAsia="Courier New" w:cs="Courier New"/>
      </w:rPr>
      <w:start w:val="1"/>
      <w:suff w:val="tab"/>
    </w:lvl>
    <w:lvl w:ilvl="5">
      <w:isLgl w:val="false"/>
      <w:lvlJc w:val="left"/>
      <w:lvlText w:val="▪"/>
      <w:numFmt w:val="bullet"/>
      <w:pPr>
        <w:pBdr/>
        <w:spacing/>
        <w:ind w:hanging="360" w:left="4881"/>
      </w:pPr>
      <w:rPr>
        <w:rFonts w:ascii="Noto Sans Symbols" w:hAnsi="Noto Sans Symbols" w:eastAsia="Noto Sans Symbols" w:cs="Noto Sans Symbols"/>
      </w:rPr>
      <w:start w:val="1"/>
      <w:suff w:val="tab"/>
    </w:lvl>
    <w:lvl w:ilvl="6">
      <w:isLgl w:val="false"/>
      <w:lvlJc w:val="left"/>
      <w:lvlText w:val="●"/>
      <w:numFmt w:val="bullet"/>
      <w:pPr>
        <w:pBdr/>
        <w:spacing/>
        <w:ind w:hanging="360" w:left="5601"/>
      </w:pPr>
      <w:rPr>
        <w:rFonts w:ascii="Noto Sans Symbols" w:hAnsi="Noto Sans Symbols" w:eastAsia="Noto Sans Symbols" w:cs="Noto Sans Symbols"/>
      </w:rPr>
      <w:start w:val="1"/>
      <w:suff w:val="tab"/>
    </w:lvl>
    <w:lvl w:ilvl="7">
      <w:isLgl w:val="false"/>
      <w:lvlJc w:val="left"/>
      <w:lvlText w:val="o"/>
      <w:numFmt w:val="bullet"/>
      <w:pPr>
        <w:pBdr/>
        <w:spacing/>
        <w:ind w:hanging="360" w:left="6321"/>
      </w:pPr>
      <w:rPr>
        <w:rFonts w:ascii="Courier New" w:hAnsi="Courier New" w:eastAsia="Courier New" w:cs="Courier New"/>
      </w:rPr>
      <w:start w:val="1"/>
      <w:suff w:val="tab"/>
    </w:lvl>
    <w:lvl w:ilvl="8">
      <w:isLgl w:val="false"/>
      <w:lvlJc w:val="left"/>
      <w:lvlText w:val="▪"/>
      <w:numFmt w:val="bullet"/>
      <w:pPr>
        <w:pBdr/>
        <w:spacing/>
        <w:ind w:hanging="360" w:left="7041"/>
      </w:pPr>
      <w:rPr>
        <w:rFonts w:ascii="Noto Sans Symbols" w:hAnsi="Noto Sans Symbols" w:eastAsia="Noto Sans Symbols" w:cs="Noto Sans Symbols"/>
      </w:rPr>
      <w:start w:val="1"/>
      <w:suff w:val="tab"/>
    </w:lvl>
  </w:abstractNum>
  <w:abstractNum w:abstractNumId="23">
    <w:lvl w:ilvl="0">
      <w:isLgl w:val="false"/>
      <w:lvlJc w:val="left"/>
      <w:lvlText w:val="-"/>
      <w:numFmt w:val="bullet"/>
      <w:pPr>
        <w:pBdr/>
        <w:spacing/>
        <w:ind w:hanging="360" w:left="720"/>
      </w:pPr>
      <w:rPr>
        <w:rFonts w:ascii="Calibri" w:hAnsi="Calibri" w:eastAsia="Calibri" w:cs="Calibri"/>
      </w:rPr>
      <w:start w:val="15"/>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4">
    <w:lvl w:ilvl="0">
      <w:isLgl w:val="false"/>
      <w:lvlJc w:val="left"/>
      <w:lvlText w:val="-"/>
      <w:numFmt w:val="bullet"/>
      <w:pPr>
        <w:pBdr/>
        <w:spacing/>
        <w:ind w:hanging="360" w:left="1287"/>
      </w:pPr>
      <w:rPr>
        <w:rFonts w:ascii="Times New Roman" w:hAnsi="Times New Roman" w:eastAsia="Times New Roman" w:cs="Times New Roman"/>
        <w:b/>
        <w:bCs/>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5">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6">
    <w:lvl w:ilvl="0">
      <w:isLgl w:val="false"/>
      <w:lvlJc w:val="left"/>
      <w:lvlText w:val="●"/>
      <w:numFmt w:val="bullet"/>
      <w:pPr>
        <w:pBdr/>
        <w:spacing/>
        <w:ind w:hanging="360" w:left="1706"/>
      </w:pPr>
      <w:rPr>
        <w:rFonts w:ascii="Noto Sans Symbols" w:hAnsi="Noto Sans Symbols" w:eastAsia="Noto Sans Symbols" w:cs="Noto Sans Symbols"/>
      </w:rPr>
      <w:start w:val="1"/>
      <w:suff w:val="tab"/>
    </w:lvl>
    <w:lvl w:ilvl="1">
      <w:isLgl w:val="false"/>
      <w:lvlJc w:val="left"/>
      <w:lvlText w:val="o"/>
      <w:numFmt w:val="bullet"/>
      <w:pPr>
        <w:pBdr/>
        <w:spacing/>
        <w:ind w:hanging="360" w:left="2426"/>
      </w:pPr>
      <w:rPr>
        <w:rFonts w:ascii="Courier New" w:hAnsi="Courier New" w:eastAsia="Courier New" w:cs="Courier New"/>
      </w:rPr>
      <w:start w:val="1"/>
      <w:suff w:val="tab"/>
    </w:lvl>
    <w:lvl w:ilvl="2">
      <w:isLgl w:val="false"/>
      <w:lvlJc w:val="left"/>
      <w:lvlText w:val="▪"/>
      <w:numFmt w:val="bullet"/>
      <w:pPr>
        <w:pBdr/>
        <w:spacing/>
        <w:ind w:hanging="360" w:left="3146"/>
      </w:pPr>
      <w:rPr>
        <w:rFonts w:ascii="Noto Sans Symbols" w:hAnsi="Noto Sans Symbols" w:eastAsia="Noto Sans Symbols" w:cs="Noto Sans Symbols"/>
      </w:rPr>
      <w:start w:val="1"/>
      <w:suff w:val="tab"/>
    </w:lvl>
    <w:lvl w:ilvl="3">
      <w:isLgl w:val="false"/>
      <w:lvlJc w:val="left"/>
      <w:lvlText w:val="●"/>
      <w:numFmt w:val="bullet"/>
      <w:pPr>
        <w:pBdr/>
        <w:spacing/>
        <w:ind w:hanging="360" w:left="3866"/>
      </w:pPr>
      <w:rPr>
        <w:rFonts w:ascii="Noto Sans Symbols" w:hAnsi="Noto Sans Symbols" w:eastAsia="Noto Sans Symbols" w:cs="Noto Sans Symbols"/>
      </w:rPr>
      <w:start w:val="1"/>
      <w:suff w:val="tab"/>
    </w:lvl>
    <w:lvl w:ilvl="4">
      <w:isLgl w:val="false"/>
      <w:lvlJc w:val="left"/>
      <w:lvlText w:val="o"/>
      <w:numFmt w:val="bullet"/>
      <w:pPr>
        <w:pBdr/>
        <w:spacing/>
        <w:ind w:hanging="360" w:left="4586"/>
      </w:pPr>
      <w:rPr>
        <w:rFonts w:ascii="Courier New" w:hAnsi="Courier New" w:eastAsia="Courier New" w:cs="Courier New"/>
      </w:rPr>
      <w:start w:val="1"/>
      <w:suff w:val="tab"/>
    </w:lvl>
    <w:lvl w:ilvl="5">
      <w:isLgl w:val="false"/>
      <w:lvlJc w:val="left"/>
      <w:lvlText w:val="▪"/>
      <w:numFmt w:val="bullet"/>
      <w:pPr>
        <w:pBdr/>
        <w:spacing/>
        <w:ind w:hanging="360" w:left="5306"/>
      </w:pPr>
      <w:rPr>
        <w:rFonts w:ascii="Noto Sans Symbols" w:hAnsi="Noto Sans Symbols" w:eastAsia="Noto Sans Symbols" w:cs="Noto Sans Symbols"/>
      </w:rPr>
      <w:start w:val="1"/>
      <w:suff w:val="tab"/>
    </w:lvl>
    <w:lvl w:ilvl="6">
      <w:isLgl w:val="false"/>
      <w:lvlJc w:val="left"/>
      <w:lvlText w:val="●"/>
      <w:numFmt w:val="bullet"/>
      <w:pPr>
        <w:pBdr/>
        <w:spacing/>
        <w:ind w:hanging="360" w:left="6026"/>
      </w:pPr>
      <w:rPr>
        <w:rFonts w:ascii="Noto Sans Symbols" w:hAnsi="Noto Sans Symbols" w:eastAsia="Noto Sans Symbols" w:cs="Noto Sans Symbols"/>
      </w:rPr>
      <w:start w:val="1"/>
      <w:suff w:val="tab"/>
    </w:lvl>
    <w:lvl w:ilvl="7">
      <w:isLgl w:val="false"/>
      <w:lvlJc w:val="left"/>
      <w:lvlText w:val="o"/>
      <w:numFmt w:val="bullet"/>
      <w:pPr>
        <w:pBdr/>
        <w:spacing/>
        <w:ind w:hanging="360" w:left="6746"/>
      </w:pPr>
      <w:rPr>
        <w:rFonts w:ascii="Courier New" w:hAnsi="Courier New" w:eastAsia="Courier New" w:cs="Courier New"/>
      </w:rPr>
      <w:start w:val="1"/>
      <w:suff w:val="tab"/>
    </w:lvl>
    <w:lvl w:ilvl="8">
      <w:isLgl w:val="false"/>
      <w:lvlJc w:val="left"/>
      <w:lvlText w:val="▪"/>
      <w:numFmt w:val="bullet"/>
      <w:pPr>
        <w:pBdr/>
        <w:spacing/>
        <w:ind w:hanging="360" w:left="7466"/>
      </w:pPr>
      <w:rPr>
        <w:rFonts w:ascii="Noto Sans Symbols" w:hAnsi="Noto Sans Symbols" w:eastAsia="Noto Sans Symbols" w:cs="Noto Sans Symbols"/>
      </w:rPr>
      <w:start w:val="1"/>
      <w:suff w:val="tab"/>
    </w:lvl>
  </w:abstractNum>
  <w:abstractNum w:abstractNumId="27">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9">
    <w:lvl w:ilvl="0">
      <w:isLgl w:val="false"/>
      <w:lvlJc w:val="left"/>
      <w:lvlText w:val="ARTICLE %1:"/>
      <w:numFmt w:val="decimal"/>
      <w:pPr>
        <w:pBdr/>
        <w:spacing/>
        <w:ind w:hanging="360" w:left="6173"/>
      </w:pPr>
      <w:rPr>
        <w:u w:val="single"/>
      </w:rPr>
      <w:start w:val="1"/>
      <w:suff w:val="tab"/>
    </w:lvl>
    <w:lvl w:ilvl="1">
      <w:isLgl w:val="false"/>
      <w:lvlJc w:val="left"/>
      <w:lvlText w:val="%2"/>
      <w:numFmt w:val="decimal"/>
      <w:pPr>
        <w:pBdr/>
        <w:spacing/>
        <w:ind w:hanging="360" w:left="720"/>
      </w:pPr>
      <w:rPr/>
      <w:start w:val="1"/>
      <w:suff w:val="tab"/>
    </w:lvl>
    <w:lvl w:ilvl="2">
      <w:isLgl w:val="false"/>
      <w:lvlJc w:val="left"/>
      <w:lvlText w:val="%2.%3"/>
      <w:numFmt w:val="decimal"/>
      <w:pPr>
        <w:pBdr/>
        <w:spacing/>
        <w:ind w:hanging="360" w:left="1080"/>
      </w:pPr>
      <w:rPr/>
      <w:start w:val="1"/>
      <w:suff w:val="tab"/>
    </w:lvl>
    <w:lvl w:ilvl="3">
      <w:isLgl w:val="false"/>
      <w:lvlJc w:val="left"/>
      <w:lvlText w:val="%4)"/>
      <w:numFmt w:val="lowerLetter"/>
      <w:pPr>
        <w:pBdr/>
        <w:spacing/>
        <w:ind w:hanging="360" w:left="1440"/>
      </w:pPr>
      <w:rPr/>
      <w:start w:val="1"/>
      <w:suff w:val="tab"/>
    </w:lvl>
    <w:lvl w:ilvl="4">
      <w:isLgl w:val="false"/>
      <w:lvlJc w:val="left"/>
      <w:lvlText w:val="(%5)"/>
      <w:numFmt w:val="lowerRoman"/>
      <w:pPr>
        <w:pBdr/>
        <w:spacing/>
        <w:ind w:hanging="360" w:left="1800"/>
      </w:pPr>
      <w:rPr/>
      <w:start w:val="1"/>
      <w:suff w:val="tab"/>
    </w:lvl>
    <w:lvl w:ilvl="5">
      <w:isLgl w:val="false"/>
      <w:lvlJc w:val="left"/>
      <w:lvlText w:val="(%6)"/>
      <w:numFmt w:val="decimal"/>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decimal"/>
      <w:pPr>
        <w:pBdr/>
        <w:spacing/>
        <w:ind w:hanging="360" w:left="2880"/>
      </w:pPr>
      <w:rPr/>
      <w:start w:val="1"/>
      <w:suff w:val="tab"/>
    </w:lvl>
    <w:lvl w:ilvl="8">
      <w:isLgl w:val="false"/>
      <w:lvlJc w:val="left"/>
      <w:lvlText w:val="%9."/>
      <w:numFmt w:val="decimal"/>
      <w:pPr>
        <w:pBdr/>
        <w:spacing/>
        <w:ind w:hanging="360" w:left="3240"/>
      </w:pPr>
      <w:rPr/>
      <w:start w:val="1"/>
      <w:suff w:val="tab"/>
    </w:lvl>
  </w:abstractNum>
  <w:abstractNum w:abstractNumId="30">
    <w:nsid w:val="4C1AE820"/>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lang w:val="en"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07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6">
    <w:name w:val="Table Grid"/>
    <w:basedOn w:val="1075"/>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7">
    <w:name w:val="Table Grid Light"/>
    <w:basedOn w:val="107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8">
    <w:name w:val="Plain Table 1"/>
    <w:basedOn w:val="107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9">
    <w:name w:val="Plain Table 2"/>
    <w:basedOn w:val="107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0">
    <w:name w:val="Plain Table 3"/>
    <w:basedOn w:val="107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1">
    <w:name w:val="Plain Table 4"/>
    <w:basedOn w:val="107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2">
    <w:name w:val="Plain Table 5"/>
    <w:basedOn w:val="107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3">
    <w:name w:val="Grid Table 1 Light"/>
    <w:basedOn w:val="107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4">
    <w:name w:val="Grid Table 1 Light - Accent 1"/>
    <w:basedOn w:val="107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5">
    <w:name w:val="Grid Table 1 Light - Accent 2"/>
    <w:basedOn w:val="107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6">
    <w:name w:val="Grid Table 1 Light - Accent 3"/>
    <w:basedOn w:val="107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7">
    <w:name w:val="Grid Table 1 Light - Accent 4"/>
    <w:basedOn w:val="107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name w:val="Grid Table 1 Light - Accent 5"/>
    <w:basedOn w:val="107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name w:val="Grid Table 1 Light - Accent 6"/>
    <w:basedOn w:val="107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name w:val="Grid Table 2"/>
    <w:basedOn w:val="107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name w:val="Grid Table 2 - Accent 1"/>
    <w:basedOn w:val="107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name w:val="Grid Table 2 - Accent 2"/>
    <w:basedOn w:val="107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name w:val="Grid Table 2 - Accent 3"/>
    <w:basedOn w:val="107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name w:val="Grid Table 2 - Accent 4"/>
    <w:basedOn w:val="107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name w:val="Grid Table 2 - Accent 5"/>
    <w:basedOn w:val="107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name w:val="Grid Table 2 - Accent 6"/>
    <w:basedOn w:val="107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name w:val="Grid Table 3"/>
    <w:basedOn w:val="107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name w:val="Grid Table 3 - Accent 1"/>
    <w:basedOn w:val="107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Grid Table 3 - Accent 2"/>
    <w:basedOn w:val="107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name w:val="Grid Table 3 - Accent 3"/>
    <w:basedOn w:val="107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name w:val="Grid Table 3 - Accent 4"/>
    <w:basedOn w:val="107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name w:val="Grid Table 3 - Accent 5"/>
    <w:basedOn w:val="107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name w:val="Grid Table 3 - Accent 6"/>
    <w:basedOn w:val="107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name w:val="Grid Table 4"/>
    <w:basedOn w:val="107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name w:val="Grid Table 4 - Accent 1"/>
    <w:basedOn w:val="107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Grid Table 4 - Accent 2"/>
    <w:basedOn w:val="107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name w:val="Grid Table 4 - Accent 3"/>
    <w:basedOn w:val="107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Grid Table 4 - Accent 4"/>
    <w:basedOn w:val="107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Grid Table 4 - Accent 5"/>
    <w:basedOn w:val="107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name w:val="Grid Table 4 - Accent 6"/>
    <w:basedOn w:val="107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Grid Table 5 Dark"/>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name w:val="Grid Table 5 Dark- Accent 1"/>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name w:val="Grid Table 5 Dark - Accent 2"/>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name w:val="Grid Table 5 Dark - Accent 3"/>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name w:val="Grid Table 5 Dark- Accent 4"/>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name w:val="Grid Table 5 Dark - Accent 5"/>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name w:val="Grid Table 5 Dark - Accent 6"/>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name w:val="Grid Table 6 Colorful"/>
    <w:basedOn w:val="107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19">
    <w:name w:val="Grid Table 6 Colorful - Accent 1"/>
    <w:basedOn w:val="107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20">
    <w:name w:val="Grid Table 6 Colorful - Accent 2"/>
    <w:basedOn w:val="107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21">
    <w:name w:val="Grid Table 6 Colorful - Accent 3"/>
    <w:basedOn w:val="107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22">
    <w:name w:val="Grid Table 6 Colorful - Accent 4"/>
    <w:basedOn w:val="107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23">
    <w:name w:val="Grid Table 6 Colorful - Accent 5"/>
    <w:basedOn w:val="107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24">
    <w:name w:val="Grid Table 6 Colorful - Accent 6"/>
    <w:basedOn w:val="107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25">
    <w:name w:val="Grid Table 7 Colorful"/>
    <w:basedOn w:val="107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name w:val="Grid Table 7 Colorful - Accent 1"/>
    <w:basedOn w:val="107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name w:val="Grid Table 7 Colorful - Accent 2"/>
    <w:basedOn w:val="107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Grid Table 7 Colorful - Accent 3"/>
    <w:basedOn w:val="107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Grid Table 7 Colorful - Accent 4"/>
    <w:basedOn w:val="107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Grid Table 7 Colorful - Accent 5"/>
    <w:basedOn w:val="107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name w:val="Grid Table 7 Colorful - Accent 6"/>
    <w:basedOn w:val="107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name w:val="List Table 1 Light"/>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name w:val="List Table 1 Light - Accent 1"/>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name w:val="List Table 1 Light - Accent 2"/>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name w:val="List Table 1 Light - Accent 3"/>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name w:val="List Table 1 Light - Accent 4"/>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name w:val="List Table 1 Light - Accent 5"/>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List Table 1 Light - Accent 6"/>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List Table 2"/>
    <w:basedOn w:val="107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List Table 2 - Accent 1"/>
    <w:basedOn w:val="107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List Table 2 - Accent 2"/>
    <w:basedOn w:val="107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List Table 2 - Accent 3"/>
    <w:basedOn w:val="107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List Table 2 - Accent 4"/>
    <w:basedOn w:val="107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List Table 2 - Accent 5"/>
    <w:basedOn w:val="107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List Table 2 - Accent 6"/>
    <w:basedOn w:val="107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List Table 3"/>
    <w:basedOn w:val="107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List Table 3 - Accent 1"/>
    <w:basedOn w:val="107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List Table 3 - Accent 2"/>
    <w:basedOn w:val="107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List Table 3 - Accent 3"/>
    <w:basedOn w:val="107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List Table 3 - Accent 4"/>
    <w:basedOn w:val="107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List Table 3 - Accent 5"/>
    <w:basedOn w:val="107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List Table 3 - Accent 6"/>
    <w:basedOn w:val="107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List Table 4"/>
    <w:basedOn w:val="107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List Table 4 - Accent 1"/>
    <w:basedOn w:val="107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List Table 4 - Accent 2"/>
    <w:basedOn w:val="107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List Table 4 - Accent 3"/>
    <w:basedOn w:val="107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List Table 4 - Accent 4"/>
    <w:basedOn w:val="107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List Table 4 - Accent 5"/>
    <w:basedOn w:val="107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List Table 4 - Accent 6"/>
    <w:basedOn w:val="107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List Table 5 Dark"/>
    <w:basedOn w:val="107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1">
    <w:name w:val="List Table 5 Dark - Accent 1"/>
    <w:basedOn w:val="107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2">
    <w:name w:val="List Table 5 Dark - Accent 2"/>
    <w:basedOn w:val="107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3">
    <w:name w:val="List Table 5 Dark - Accent 3"/>
    <w:basedOn w:val="107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4">
    <w:name w:val="List Table 5 Dark - Accent 4"/>
    <w:basedOn w:val="107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5">
    <w:name w:val="List Table 5 Dark - Accent 5"/>
    <w:basedOn w:val="107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6">
    <w:name w:val="List Table 5 Dark - Accent 6"/>
    <w:basedOn w:val="107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7">
    <w:name w:val="List Table 6 Colorful"/>
    <w:basedOn w:val="107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List Table 6 Colorful - Accent 1"/>
    <w:basedOn w:val="107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List Table 6 Colorful - Accent 2"/>
    <w:basedOn w:val="107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List Table 6 Colorful - Accent 3"/>
    <w:basedOn w:val="107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List Table 6 Colorful - Accent 4"/>
    <w:basedOn w:val="107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List Table 6 Colorful - Accent 5"/>
    <w:basedOn w:val="107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name w:val="List Table 6 Colorful - Accent 6"/>
    <w:basedOn w:val="107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List Table 7 Colorful"/>
    <w:basedOn w:val="107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75">
    <w:name w:val="List Table 7 Colorful - Accent 1"/>
    <w:basedOn w:val="107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76">
    <w:name w:val="List Table 7 Colorful - Accent 2"/>
    <w:basedOn w:val="107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77">
    <w:name w:val="List Table 7 Colorful - Accent 3"/>
    <w:basedOn w:val="107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78">
    <w:name w:val="List Table 7 Colorful - Accent 4"/>
    <w:basedOn w:val="107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79">
    <w:name w:val="List Table 7 Colorful - Accent 5"/>
    <w:basedOn w:val="107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80">
    <w:name w:val="List Table 7 Colorful - Accent 6"/>
    <w:basedOn w:val="107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81">
    <w:name w:val="Lined - Accent"/>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Lined - Accent 1"/>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Lined - Accent 2"/>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Lined - Accent 3"/>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ned - Accent 4"/>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Lined - Accent 5"/>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name w:val="Lined - Accent 6"/>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name w:val="Bordered &amp; Lined - Accent"/>
    <w:basedOn w:val="107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name w:val="Bordered &amp; Lined - Accent 1"/>
    <w:basedOn w:val="107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name w:val="Bordered &amp; Lined - Accent 2"/>
    <w:basedOn w:val="107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Bordered &amp; Lined - Accent 3"/>
    <w:basedOn w:val="107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Bordered &amp; Lined - Accent 4"/>
    <w:basedOn w:val="107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name w:val="Bordered &amp; Lined - Accent 5"/>
    <w:basedOn w:val="107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Bordered &amp; Lined - Accent 6"/>
    <w:basedOn w:val="107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Bordered"/>
    <w:basedOn w:val="107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Bordered - Accent 1"/>
    <w:basedOn w:val="107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Bordered - Accent 2"/>
    <w:basedOn w:val="107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Bordered - Accent 3"/>
    <w:basedOn w:val="107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Bordered - Accent 4"/>
    <w:basedOn w:val="107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Bordered - Accent 5"/>
    <w:basedOn w:val="107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Bordered - Accent 6"/>
    <w:basedOn w:val="107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02">
    <w:name w:val="Heading 7"/>
    <w:basedOn w:val="1257"/>
    <w:next w:val="1257"/>
    <w:link w:val="1213"/>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203">
    <w:name w:val="Heading 8"/>
    <w:basedOn w:val="1257"/>
    <w:next w:val="1257"/>
    <w:link w:val="1214"/>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204">
    <w:name w:val="Heading 9"/>
    <w:basedOn w:val="1257"/>
    <w:next w:val="1257"/>
    <w:link w:val="1215"/>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05" w:default="1">
    <w:name w:val="Default Paragraph Font"/>
    <w:uiPriority w:val="1"/>
    <w:semiHidden/>
    <w:unhideWhenUsed/>
    <w:pPr>
      <w:pBdr/>
      <w:spacing/>
      <w:ind/>
    </w:pPr>
  </w:style>
  <w:style w:type="numbering" w:styleId="1206" w:default="1">
    <w:name w:val="No List"/>
    <w:uiPriority w:val="99"/>
    <w:semiHidden/>
    <w:unhideWhenUsed/>
    <w:pPr>
      <w:pBdr/>
      <w:spacing/>
      <w:ind/>
    </w:pPr>
  </w:style>
  <w:style w:type="character" w:styleId="1207">
    <w:name w:val="Heading 1 Char"/>
    <w:basedOn w:val="1205"/>
    <w:link w:val="1258"/>
    <w:uiPriority w:val="9"/>
    <w:pPr>
      <w:pBdr/>
      <w:spacing/>
      <w:ind/>
    </w:pPr>
    <w:rPr>
      <w:rFonts w:ascii="Arial" w:hAnsi="Arial" w:eastAsia="Arial" w:cs="Arial"/>
      <w:color w:val="0f4761" w:themeColor="accent1" w:themeShade="BF"/>
      <w:sz w:val="40"/>
      <w:szCs w:val="40"/>
    </w:rPr>
  </w:style>
  <w:style w:type="character" w:styleId="1208">
    <w:name w:val="Heading 2 Char"/>
    <w:basedOn w:val="1205"/>
    <w:link w:val="1259"/>
    <w:uiPriority w:val="9"/>
    <w:pPr>
      <w:pBdr/>
      <w:spacing/>
      <w:ind/>
    </w:pPr>
    <w:rPr>
      <w:rFonts w:ascii="Arial" w:hAnsi="Arial" w:eastAsia="Arial" w:cs="Arial"/>
      <w:color w:val="0f4761" w:themeColor="accent1" w:themeShade="BF"/>
      <w:sz w:val="32"/>
      <w:szCs w:val="32"/>
    </w:rPr>
  </w:style>
  <w:style w:type="character" w:styleId="1209">
    <w:name w:val="Heading 3 Char"/>
    <w:basedOn w:val="1205"/>
    <w:link w:val="1260"/>
    <w:uiPriority w:val="9"/>
    <w:pPr>
      <w:pBdr/>
      <w:spacing/>
      <w:ind/>
    </w:pPr>
    <w:rPr>
      <w:rFonts w:ascii="Arial" w:hAnsi="Arial" w:eastAsia="Arial" w:cs="Arial"/>
      <w:color w:val="0f4761" w:themeColor="accent1" w:themeShade="BF"/>
      <w:sz w:val="28"/>
      <w:szCs w:val="28"/>
    </w:rPr>
  </w:style>
  <w:style w:type="character" w:styleId="1210">
    <w:name w:val="Heading 4 Char"/>
    <w:basedOn w:val="1205"/>
    <w:link w:val="1261"/>
    <w:uiPriority w:val="9"/>
    <w:pPr>
      <w:pBdr/>
      <w:spacing/>
      <w:ind/>
    </w:pPr>
    <w:rPr>
      <w:rFonts w:ascii="Arial" w:hAnsi="Arial" w:eastAsia="Arial" w:cs="Arial"/>
      <w:i/>
      <w:iCs/>
      <w:color w:val="0f4761" w:themeColor="accent1" w:themeShade="BF"/>
    </w:rPr>
  </w:style>
  <w:style w:type="character" w:styleId="1211">
    <w:name w:val="Heading 5 Char"/>
    <w:basedOn w:val="1205"/>
    <w:link w:val="1262"/>
    <w:uiPriority w:val="9"/>
    <w:pPr>
      <w:pBdr/>
      <w:spacing/>
      <w:ind/>
    </w:pPr>
    <w:rPr>
      <w:rFonts w:ascii="Arial" w:hAnsi="Arial" w:eastAsia="Arial" w:cs="Arial"/>
      <w:color w:val="0f4761" w:themeColor="accent1" w:themeShade="BF"/>
    </w:rPr>
  </w:style>
  <w:style w:type="character" w:styleId="1212">
    <w:name w:val="Heading 6 Char"/>
    <w:basedOn w:val="1205"/>
    <w:link w:val="1263"/>
    <w:uiPriority w:val="9"/>
    <w:pPr>
      <w:pBdr/>
      <w:spacing/>
      <w:ind/>
    </w:pPr>
    <w:rPr>
      <w:rFonts w:ascii="Arial" w:hAnsi="Arial" w:eastAsia="Arial" w:cs="Arial"/>
      <w:i/>
      <w:iCs/>
      <w:color w:val="595959" w:themeColor="text1" w:themeTint="A6"/>
    </w:rPr>
  </w:style>
  <w:style w:type="character" w:styleId="1213">
    <w:name w:val="Heading 7 Char"/>
    <w:basedOn w:val="1205"/>
    <w:link w:val="1202"/>
    <w:uiPriority w:val="9"/>
    <w:pPr>
      <w:pBdr/>
      <w:spacing/>
      <w:ind/>
    </w:pPr>
    <w:rPr>
      <w:rFonts w:ascii="Arial" w:hAnsi="Arial" w:eastAsia="Arial" w:cs="Arial"/>
      <w:color w:val="595959" w:themeColor="text1" w:themeTint="A6"/>
    </w:rPr>
  </w:style>
  <w:style w:type="character" w:styleId="1214">
    <w:name w:val="Heading 8 Char"/>
    <w:basedOn w:val="1205"/>
    <w:link w:val="1203"/>
    <w:uiPriority w:val="9"/>
    <w:pPr>
      <w:pBdr/>
      <w:spacing/>
      <w:ind/>
    </w:pPr>
    <w:rPr>
      <w:rFonts w:ascii="Arial" w:hAnsi="Arial" w:eastAsia="Arial" w:cs="Arial"/>
      <w:i/>
      <w:iCs/>
      <w:color w:val="272727" w:themeColor="text1" w:themeTint="D8"/>
    </w:rPr>
  </w:style>
  <w:style w:type="character" w:styleId="1215">
    <w:name w:val="Heading 9 Char"/>
    <w:basedOn w:val="1205"/>
    <w:link w:val="1204"/>
    <w:uiPriority w:val="9"/>
    <w:pPr>
      <w:pBdr/>
      <w:spacing/>
      <w:ind/>
    </w:pPr>
    <w:rPr>
      <w:rFonts w:ascii="Arial" w:hAnsi="Arial" w:eastAsia="Arial" w:cs="Arial"/>
      <w:i/>
      <w:iCs/>
      <w:color w:val="272727" w:themeColor="text1" w:themeTint="D8"/>
    </w:rPr>
  </w:style>
  <w:style w:type="character" w:styleId="1216">
    <w:name w:val="Title Char"/>
    <w:basedOn w:val="1205"/>
    <w:link w:val="1264"/>
    <w:uiPriority w:val="10"/>
    <w:pPr>
      <w:pBdr/>
      <w:spacing/>
      <w:ind/>
    </w:pPr>
    <w:rPr>
      <w:rFonts w:ascii="Arial" w:hAnsi="Arial" w:eastAsia="Arial" w:cs="Arial"/>
      <w:spacing w:val="-10"/>
      <w:sz w:val="56"/>
      <w:szCs w:val="56"/>
    </w:rPr>
  </w:style>
  <w:style w:type="character" w:styleId="1217">
    <w:name w:val="Subtitle Char"/>
    <w:basedOn w:val="1205"/>
    <w:link w:val="1265"/>
    <w:uiPriority w:val="11"/>
    <w:pPr>
      <w:pBdr/>
      <w:spacing/>
      <w:ind/>
    </w:pPr>
    <w:rPr>
      <w:color w:val="595959" w:themeColor="text1" w:themeTint="A6"/>
      <w:spacing w:val="15"/>
      <w:sz w:val="28"/>
      <w:szCs w:val="28"/>
    </w:rPr>
  </w:style>
  <w:style w:type="paragraph" w:styleId="1218">
    <w:name w:val="Quote"/>
    <w:basedOn w:val="1257"/>
    <w:next w:val="1257"/>
    <w:link w:val="1219"/>
    <w:uiPriority w:val="29"/>
    <w:qFormat/>
    <w:pPr>
      <w:pBdr/>
      <w:spacing w:before="160"/>
      <w:ind/>
      <w:jc w:val="center"/>
    </w:pPr>
    <w:rPr>
      <w:i/>
      <w:iCs/>
      <w:color w:val="404040" w:themeColor="text1" w:themeTint="BF"/>
    </w:rPr>
  </w:style>
  <w:style w:type="character" w:styleId="1219">
    <w:name w:val="Quote Char"/>
    <w:basedOn w:val="1205"/>
    <w:link w:val="1218"/>
    <w:uiPriority w:val="29"/>
    <w:pPr>
      <w:pBdr/>
      <w:spacing/>
      <w:ind/>
    </w:pPr>
    <w:rPr>
      <w:i/>
      <w:iCs/>
      <w:color w:val="404040" w:themeColor="text1" w:themeTint="BF"/>
    </w:rPr>
  </w:style>
  <w:style w:type="paragraph" w:styleId="1220">
    <w:name w:val="List Paragraph"/>
    <w:basedOn w:val="1257"/>
    <w:uiPriority w:val="34"/>
    <w:qFormat/>
    <w:pPr>
      <w:pBdr/>
      <w:spacing/>
      <w:ind w:left="720"/>
      <w:contextualSpacing w:val="true"/>
    </w:pPr>
  </w:style>
  <w:style w:type="character" w:styleId="1221">
    <w:name w:val="Intense Emphasis"/>
    <w:basedOn w:val="1205"/>
    <w:uiPriority w:val="21"/>
    <w:qFormat/>
    <w:pPr>
      <w:pBdr/>
      <w:spacing/>
      <w:ind/>
    </w:pPr>
    <w:rPr>
      <w:i/>
      <w:iCs/>
      <w:color w:val="0f4761" w:themeColor="accent1" w:themeShade="BF"/>
    </w:rPr>
  </w:style>
  <w:style w:type="paragraph" w:styleId="1222">
    <w:name w:val="Intense Quote"/>
    <w:basedOn w:val="1257"/>
    <w:next w:val="1257"/>
    <w:link w:val="122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23">
    <w:name w:val="Intense Quote Char"/>
    <w:basedOn w:val="1205"/>
    <w:link w:val="1222"/>
    <w:uiPriority w:val="30"/>
    <w:pPr>
      <w:pBdr/>
      <w:spacing/>
      <w:ind/>
    </w:pPr>
    <w:rPr>
      <w:i/>
      <w:iCs/>
      <w:color w:val="0f4761" w:themeColor="accent1" w:themeShade="BF"/>
    </w:rPr>
  </w:style>
  <w:style w:type="character" w:styleId="1224">
    <w:name w:val="Intense Reference"/>
    <w:basedOn w:val="1205"/>
    <w:uiPriority w:val="32"/>
    <w:qFormat/>
    <w:pPr>
      <w:pBdr/>
      <w:spacing/>
      <w:ind/>
    </w:pPr>
    <w:rPr>
      <w:b/>
      <w:bCs/>
      <w:smallCaps/>
      <w:color w:val="0f4761" w:themeColor="accent1" w:themeShade="BF"/>
      <w:spacing w:val="5"/>
    </w:rPr>
  </w:style>
  <w:style w:type="paragraph" w:styleId="1225">
    <w:name w:val="No Spacing"/>
    <w:basedOn w:val="1257"/>
    <w:uiPriority w:val="1"/>
    <w:qFormat/>
    <w:pPr>
      <w:pBdr/>
      <w:spacing w:after="0" w:line="240" w:lineRule="auto"/>
      <w:ind/>
    </w:pPr>
  </w:style>
  <w:style w:type="character" w:styleId="1226">
    <w:name w:val="Subtle Emphasis"/>
    <w:basedOn w:val="1205"/>
    <w:uiPriority w:val="19"/>
    <w:qFormat/>
    <w:pPr>
      <w:pBdr/>
      <w:spacing/>
      <w:ind/>
    </w:pPr>
    <w:rPr>
      <w:i/>
      <w:iCs/>
      <w:color w:val="404040" w:themeColor="text1" w:themeTint="BF"/>
    </w:rPr>
  </w:style>
  <w:style w:type="character" w:styleId="1227">
    <w:name w:val="Emphasis"/>
    <w:basedOn w:val="1205"/>
    <w:uiPriority w:val="20"/>
    <w:qFormat/>
    <w:pPr>
      <w:pBdr/>
      <w:spacing/>
      <w:ind/>
    </w:pPr>
    <w:rPr>
      <w:i/>
      <w:iCs/>
    </w:rPr>
  </w:style>
  <w:style w:type="character" w:styleId="1228">
    <w:name w:val="Strong"/>
    <w:basedOn w:val="1205"/>
    <w:uiPriority w:val="22"/>
    <w:qFormat/>
    <w:pPr>
      <w:pBdr/>
      <w:spacing/>
      <w:ind/>
    </w:pPr>
    <w:rPr>
      <w:b/>
      <w:bCs/>
    </w:rPr>
  </w:style>
  <w:style w:type="character" w:styleId="1229">
    <w:name w:val="Subtle Reference"/>
    <w:basedOn w:val="1205"/>
    <w:uiPriority w:val="31"/>
    <w:qFormat/>
    <w:pPr>
      <w:pBdr/>
      <w:spacing/>
      <w:ind/>
    </w:pPr>
    <w:rPr>
      <w:smallCaps/>
      <w:color w:val="5a5a5a" w:themeColor="text1" w:themeTint="A5"/>
    </w:rPr>
  </w:style>
  <w:style w:type="character" w:styleId="1230">
    <w:name w:val="Book Title"/>
    <w:basedOn w:val="1205"/>
    <w:uiPriority w:val="33"/>
    <w:qFormat/>
    <w:pPr>
      <w:pBdr/>
      <w:spacing/>
      <w:ind/>
    </w:pPr>
    <w:rPr>
      <w:b/>
      <w:bCs/>
      <w:i/>
      <w:iCs/>
      <w:spacing w:val="5"/>
    </w:rPr>
  </w:style>
  <w:style w:type="paragraph" w:styleId="1231">
    <w:name w:val="Header"/>
    <w:basedOn w:val="1257"/>
    <w:link w:val="1232"/>
    <w:uiPriority w:val="99"/>
    <w:unhideWhenUsed/>
    <w:pPr>
      <w:pBdr/>
      <w:tabs>
        <w:tab w:val="center" w:leader="none" w:pos="4844"/>
        <w:tab w:val="right" w:leader="none" w:pos="9689"/>
      </w:tabs>
      <w:spacing w:after="0" w:line="240" w:lineRule="auto"/>
      <w:ind/>
    </w:pPr>
  </w:style>
  <w:style w:type="character" w:styleId="1232">
    <w:name w:val="Header Char"/>
    <w:basedOn w:val="1205"/>
    <w:link w:val="1231"/>
    <w:uiPriority w:val="99"/>
    <w:pPr>
      <w:pBdr/>
      <w:spacing/>
      <w:ind/>
    </w:pPr>
  </w:style>
  <w:style w:type="paragraph" w:styleId="1233">
    <w:name w:val="Footer"/>
    <w:basedOn w:val="1257"/>
    <w:link w:val="1234"/>
    <w:uiPriority w:val="99"/>
    <w:unhideWhenUsed/>
    <w:pPr>
      <w:pBdr/>
      <w:tabs>
        <w:tab w:val="center" w:leader="none" w:pos="4844"/>
        <w:tab w:val="right" w:leader="none" w:pos="9689"/>
      </w:tabs>
      <w:spacing w:after="0" w:line="240" w:lineRule="auto"/>
      <w:ind/>
    </w:pPr>
  </w:style>
  <w:style w:type="character" w:styleId="1234">
    <w:name w:val="Footer Char"/>
    <w:basedOn w:val="1205"/>
    <w:link w:val="1233"/>
    <w:uiPriority w:val="99"/>
    <w:pPr>
      <w:pBdr/>
      <w:spacing/>
      <w:ind/>
    </w:pPr>
  </w:style>
  <w:style w:type="paragraph" w:styleId="1235">
    <w:name w:val="Caption"/>
    <w:basedOn w:val="1257"/>
    <w:next w:val="1257"/>
    <w:uiPriority w:val="35"/>
    <w:unhideWhenUsed/>
    <w:qFormat/>
    <w:pPr>
      <w:pBdr/>
      <w:spacing w:after="200" w:line="240" w:lineRule="auto"/>
      <w:ind/>
    </w:pPr>
    <w:rPr>
      <w:i/>
      <w:iCs/>
      <w:color w:val="0e2841" w:themeColor="text2"/>
      <w:sz w:val="18"/>
      <w:szCs w:val="18"/>
    </w:rPr>
  </w:style>
  <w:style w:type="paragraph" w:styleId="1236">
    <w:name w:val="footnote text"/>
    <w:basedOn w:val="1257"/>
    <w:link w:val="1237"/>
    <w:uiPriority w:val="99"/>
    <w:semiHidden/>
    <w:unhideWhenUsed/>
    <w:pPr>
      <w:pBdr/>
      <w:spacing w:after="0" w:line="240" w:lineRule="auto"/>
      <w:ind/>
    </w:pPr>
    <w:rPr>
      <w:sz w:val="20"/>
      <w:szCs w:val="20"/>
    </w:rPr>
  </w:style>
  <w:style w:type="character" w:styleId="1237">
    <w:name w:val="Footnote Text Char"/>
    <w:basedOn w:val="1205"/>
    <w:link w:val="1236"/>
    <w:uiPriority w:val="99"/>
    <w:semiHidden/>
    <w:pPr>
      <w:pBdr/>
      <w:spacing/>
      <w:ind/>
    </w:pPr>
    <w:rPr>
      <w:sz w:val="20"/>
      <w:szCs w:val="20"/>
    </w:rPr>
  </w:style>
  <w:style w:type="character" w:styleId="1238">
    <w:name w:val="footnote reference"/>
    <w:basedOn w:val="1205"/>
    <w:uiPriority w:val="99"/>
    <w:semiHidden/>
    <w:unhideWhenUsed/>
    <w:pPr>
      <w:pBdr/>
      <w:spacing/>
      <w:ind/>
    </w:pPr>
    <w:rPr>
      <w:vertAlign w:val="superscript"/>
    </w:rPr>
  </w:style>
  <w:style w:type="paragraph" w:styleId="1239">
    <w:name w:val="endnote text"/>
    <w:basedOn w:val="1257"/>
    <w:link w:val="1240"/>
    <w:uiPriority w:val="99"/>
    <w:semiHidden/>
    <w:unhideWhenUsed/>
    <w:pPr>
      <w:pBdr/>
      <w:spacing w:after="0" w:line="240" w:lineRule="auto"/>
      <w:ind/>
    </w:pPr>
    <w:rPr>
      <w:sz w:val="20"/>
      <w:szCs w:val="20"/>
    </w:rPr>
  </w:style>
  <w:style w:type="character" w:styleId="1240">
    <w:name w:val="Endnote Text Char"/>
    <w:basedOn w:val="1205"/>
    <w:link w:val="1239"/>
    <w:uiPriority w:val="99"/>
    <w:semiHidden/>
    <w:pPr>
      <w:pBdr/>
      <w:spacing/>
      <w:ind/>
    </w:pPr>
    <w:rPr>
      <w:sz w:val="20"/>
      <w:szCs w:val="20"/>
    </w:rPr>
  </w:style>
  <w:style w:type="character" w:styleId="1241">
    <w:name w:val="endnote reference"/>
    <w:basedOn w:val="1205"/>
    <w:uiPriority w:val="99"/>
    <w:semiHidden/>
    <w:unhideWhenUsed/>
    <w:pPr>
      <w:pBdr/>
      <w:spacing/>
      <w:ind/>
    </w:pPr>
    <w:rPr>
      <w:vertAlign w:val="superscript"/>
    </w:rPr>
  </w:style>
  <w:style w:type="character" w:styleId="1242">
    <w:name w:val="Hyperlink"/>
    <w:basedOn w:val="1205"/>
    <w:uiPriority w:val="99"/>
    <w:unhideWhenUsed/>
    <w:pPr>
      <w:pBdr/>
      <w:spacing/>
      <w:ind/>
    </w:pPr>
    <w:rPr>
      <w:color w:val="0563c1" w:themeColor="hyperlink"/>
      <w:u w:val="single"/>
    </w:rPr>
  </w:style>
  <w:style w:type="character" w:styleId="1243">
    <w:name w:val="FollowedHyperlink"/>
    <w:basedOn w:val="1205"/>
    <w:uiPriority w:val="99"/>
    <w:semiHidden/>
    <w:unhideWhenUsed/>
    <w:pPr>
      <w:pBdr/>
      <w:spacing/>
      <w:ind/>
    </w:pPr>
    <w:rPr>
      <w:color w:val="954f72" w:themeColor="followedHyperlink"/>
      <w:u w:val="single"/>
    </w:rPr>
  </w:style>
  <w:style w:type="paragraph" w:styleId="1244">
    <w:name w:val="toc 1"/>
    <w:basedOn w:val="1257"/>
    <w:next w:val="1257"/>
    <w:uiPriority w:val="39"/>
    <w:unhideWhenUsed/>
    <w:pPr>
      <w:pBdr/>
      <w:spacing w:after="100"/>
      <w:ind/>
    </w:pPr>
  </w:style>
  <w:style w:type="paragraph" w:styleId="1245">
    <w:name w:val="toc 2"/>
    <w:basedOn w:val="1257"/>
    <w:next w:val="1257"/>
    <w:uiPriority w:val="39"/>
    <w:unhideWhenUsed/>
    <w:pPr>
      <w:pBdr/>
      <w:spacing w:after="100"/>
      <w:ind w:left="220"/>
    </w:pPr>
  </w:style>
  <w:style w:type="paragraph" w:styleId="1246">
    <w:name w:val="toc 3"/>
    <w:basedOn w:val="1257"/>
    <w:next w:val="1257"/>
    <w:uiPriority w:val="39"/>
    <w:unhideWhenUsed/>
    <w:pPr>
      <w:pBdr/>
      <w:spacing w:after="100"/>
      <w:ind w:left="440"/>
    </w:pPr>
  </w:style>
  <w:style w:type="paragraph" w:styleId="1247">
    <w:name w:val="toc 4"/>
    <w:basedOn w:val="1257"/>
    <w:next w:val="1257"/>
    <w:uiPriority w:val="39"/>
    <w:unhideWhenUsed/>
    <w:pPr>
      <w:pBdr/>
      <w:spacing w:after="100"/>
      <w:ind w:left="660"/>
    </w:pPr>
  </w:style>
  <w:style w:type="paragraph" w:styleId="1248">
    <w:name w:val="toc 5"/>
    <w:basedOn w:val="1257"/>
    <w:next w:val="1257"/>
    <w:uiPriority w:val="39"/>
    <w:unhideWhenUsed/>
    <w:pPr>
      <w:pBdr/>
      <w:spacing w:after="100"/>
      <w:ind w:left="880"/>
    </w:pPr>
  </w:style>
  <w:style w:type="paragraph" w:styleId="1249">
    <w:name w:val="toc 6"/>
    <w:basedOn w:val="1257"/>
    <w:next w:val="1257"/>
    <w:uiPriority w:val="39"/>
    <w:unhideWhenUsed/>
    <w:pPr>
      <w:pBdr/>
      <w:spacing w:after="100"/>
      <w:ind w:left="1100"/>
    </w:pPr>
  </w:style>
  <w:style w:type="paragraph" w:styleId="1250">
    <w:name w:val="toc 7"/>
    <w:basedOn w:val="1257"/>
    <w:next w:val="1257"/>
    <w:uiPriority w:val="39"/>
    <w:unhideWhenUsed/>
    <w:pPr>
      <w:pBdr/>
      <w:spacing w:after="100"/>
      <w:ind w:left="1320"/>
    </w:pPr>
  </w:style>
  <w:style w:type="paragraph" w:styleId="1251">
    <w:name w:val="toc 8"/>
    <w:basedOn w:val="1257"/>
    <w:next w:val="1257"/>
    <w:uiPriority w:val="39"/>
    <w:unhideWhenUsed/>
    <w:pPr>
      <w:pBdr/>
      <w:spacing w:after="100"/>
      <w:ind w:left="1540"/>
    </w:pPr>
  </w:style>
  <w:style w:type="paragraph" w:styleId="1252">
    <w:name w:val="toc 9"/>
    <w:basedOn w:val="1257"/>
    <w:next w:val="1257"/>
    <w:uiPriority w:val="39"/>
    <w:unhideWhenUsed/>
    <w:pPr>
      <w:pBdr/>
      <w:spacing w:after="100"/>
      <w:ind w:left="1760"/>
    </w:pPr>
  </w:style>
  <w:style w:type="character" w:styleId="1253">
    <w:name w:val="Placeholder Text"/>
    <w:basedOn w:val="1205"/>
    <w:uiPriority w:val="99"/>
    <w:semiHidden/>
    <w:pPr>
      <w:pBdr/>
      <w:spacing/>
      <w:ind/>
    </w:pPr>
    <w:rPr>
      <w:color w:val="666666"/>
    </w:rPr>
  </w:style>
  <w:style w:type="paragraph" w:styleId="1254">
    <w:name w:val="TOC Heading"/>
    <w:uiPriority w:val="39"/>
    <w:unhideWhenUsed/>
    <w:pPr>
      <w:pBdr/>
      <w:spacing/>
      <w:ind/>
    </w:pPr>
  </w:style>
  <w:style w:type="paragraph" w:styleId="1255">
    <w:name w:val="table of figures"/>
    <w:basedOn w:val="1257"/>
    <w:next w:val="1257"/>
    <w:uiPriority w:val="99"/>
    <w:unhideWhenUsed/>
    <w:pPr>
      <w:pBdr/>
      <w:spacing w:after="0" w:afterAutospacing="0"/>
      <w:ind/>
    </w:pPr>
  </w:style>
  <w:style w:type="table" w:styleId="1256">
    <w:name w:val="TableNormal"/>
    <w:pPr>
      <w:pBdr/>
      <w:spacing/>
      <w:ind/>
    </w:pPr>
    <w:tblPr>
      <w:tblCellMar>
        <w:left w:w="100" w:type="dxa"/>
        <w:top w:w="100" w:type="dxa"/>
        <w:right w:w="100" w:type="dxa"/>
        <w:bottom w:w="10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57" w:default="1">
    <w:name w:val="Normal"/>
    <w:pPr>
      <w:pBdr/>
      <w:spacing/>
      <w:ind/>
    </w:pPr>
  </w:style>
  <w:style w:type="paragraph" w:styleId="1258">
    <w:name w:val="Heading 1"/>
    <w:basedOn w:val="1257"/>
    <w:next w:val="1257"/>
    <w:pPr>
      <w:keepNext w:val="true"/>
      <w:pBdr/>
      <w:spacing w:line="440" w:lineRule="auto"/>
      <w:ind/>
    </w:pPr>
    <w:rPr>
      <w:b/>
      <w:bCs/>
      <w:smallCaps/>
    </w:rPr>
  </w:style>
  <w:style w:type="paragraph" w:styleId="1259">
    <w:name w:val="Heading 2"/>
    <w:basedOn w:val="1257"/>
    <w:next w:val="1257"/>
    <w:pPr>
      <w:keepNext w:val="true"/>
      <w:widowControl w:val="false"/>
      <w:pBdr/>
      <w:spacing/>
      <w:ind/>
    </w:pPr>
    <w:rPr>
      <w:b/>
      <w:bCs/>
      <w:sz w:val="18"/>
      <w:szCs w:val="18"/>
    </w:rPr>
  </w:style>
  <w:style w:type="paragraph" w:styleId="1260">
    <w:name w:val="Heading 3"/>
    <w:basedOn w:val="1257"/>
    <w:next w:val="1257"/>
    <w:pPr>
      <w:keepNext w:val="true"/>
      <w:pBdr/>
      <w:spacing w:after="60" w:before="240"/>
      <w:ind/>
    </w:pPr>
    <w:rPr>
      <w:rFonts w:ascii="Helvetica Neue" w:hAnsi="Helvetica Neue" w:eastAsia="Helvetica Neue" w:cs="Helvetica Neue"/>
      <w:sz w:val="24"/>
      <w:szCs w:val="24"/>
    </w:rPr>
  </w:style>
  <w:style w:type="paragraph" w:styleId="1261">
    <w:name w:val="Heading 4"/>
    <w:basedOn w:val="1257"/>
    <w:next w:val="1257"/>
    <w:pPr>
      <w:keepNext w:val="true"/>
      <w:widowControl w:val="false"/>
      <w:pBdr/>
      <w:spacing/>
      <w:ind/>
      <w:jc w:val="both"/>
    </w:pPr>
    <w:rPr>
      <w:b/>
      <w:bCs/>
      <w:i/>
      <w:iCs/>
      <w:color w:val="0000ff"/>
    </w:rPr>
  </w:style>
  <w:style w:type="paragraph" w:styleId="1262">
    <w:name w:val="Heading 5"/>
    <w:basedOn w:val="1257"/>
    <w:next w:val="1257"/>
    <w:pPr>
      <w:keepNext w:val="true"/>
      <w:widowControl w:val="false"/>
      <w:pBdr/>
      <w:spacing/>
      <w:ind/>
      <w:jc w:val="both"/>
    </w:pPr>
    <w:rPr>
      <w:b/>
      <w:bCs/>
    </w:rPr>
  </w:style>
  <w:style w:type="paragraph" w:styleId="1263">
    <w:name w:val="Heading 6"/>
    <w:basedOn w:val="1257"/>
    <w:next w:val="1257"/>
    <w:pPr>
      <w:pBdr/>
      <w:spacing w:after="60" w:before="240" w:line="240" w:lineRule="auto"/>
      <w:ind/>
    </w:pPr>
    <w:rPr>
      <w:rFonts w:ascii="Times New Roman" w:hAnsi="Times New Roman" w:eastAsia="Times New Roman" w:cs="Times New Roman"/>
      <w:b/>
      <w:bCs/>
      <w:sz w:val="22"/>
      <w:szCs w:val="22"/>
    </w:rPr>
  </w:style>
  <w:style w:type="paragraph" w:styleId="1264">
    <w:name w:val="Title"/>
    <w:basedOn w:val="1257"/>
    <w:next w:val="1257"/>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Garamond" w:cs="Garamond"/>
      <w:b/>
      <w:bCs/>
      <w:sz w:val="28"/>
      <w:szCs w:val="28"/>
    </w:rPr>
  </w:style>
  <w:style w:type="paragraph" w:styleId="1265">
    <w:name w:val="Subtitle"/>
    <w:basedOn w:val="1257"/>
    <w:next w:val="1257"/>
    <w:pPr>
      <w:keepNext w:val="true"/>
      <w:keepLines w:val="true"/>
      <w:pageBreakBefore w:val="false"/>
      <w:pBdr/>
      <w:spacing w:after="80" w:before="360"/>
      <w:ind/>
    </w:pPr>
    <w:rPr>
      <w:rFonts w:ascii="Georgia" w:hAnsi="Georgia" w:eastAsia="Georgia" w:cs="Georgia"/>
      <w:i/>
      <w:iCs/>
      <w:color w:val="666666"/>
      <w:sz w:val="48"/>
      <w:szCs w:val="48"/>
    </w:rPr>
  </w:style>
  <w:style w:type="table" w:styleId="1266">
    <w:name w:val="StGen0"/>
    <w:basedOn w:val="1256"/>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7">
    <w:name w:val="StGen1"/>
    <w:basedOn w:val="1256"/>
    <w:pPr>
      <w:pBdr/>
      <w:spacing/>
      <w:ind/>
    </w:pPr>
    <w:tblPr>
      <w:tblStyleRowBandSize w:val="1"/>
      <w:tblStyleColBandSize w:val="1"/>
      <w:tblCellMar>
        <w:left w:w="115" w:type="dxa"/>
        <w:top w:w="0" w:type="dxa"/>
        <w:right w:w="115"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8">
    <w:name w:val="StGen2"/>
    <w:basedOn w:val="1256"/>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9">
    <w:name w:val="StGen3"/>
    <w:basedOn w:val="1256"/>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0">
    <w:name w:val="StGen4"/>
    <w:basedOn w:val="1256"/>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1">
    <w:name w:val="StGen5"/>
    <w:basedOn w:val="1256"/>
    <w:pPr>
      <w:pBdr/>
      <w:spacing/>
      <w:ind/>
    </w:pPr>
    <w:tblPr>
      <w:tblStyleRowBandSize w:val="1"/>
      <w:tblStyleColBandSize w:val="1"/>
      <w:tblCellMar>
        <w:left w:w="70" w:type="dxa"/>
        <w:top w:w="0" w:type="dxa"/>
        <w:right w:w="7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mailto:mathieu.radoube@expertisefrance.fr" TargetMode="External"/><Relationship Id="rId23" Type="http://schemas.openxmlformats.org/officeDocument/2006/relationships/hyperlink" Target="https://www.ecologie.gouv.fr/sites/default/files/Guide_politique_achat_public_zero_deforestation.pdf" TargetMode="External"/><Relationship Id="rId24"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www.expertisefrance.fr" TargetMode="External"/><Relationship Id="rId29"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1" Type="http://schemas.openxmlformats.org/officeDocument/2006/relationships/hyperlink" Target="https://www.un.org/securitycouncil/content/un-sc-consolidated-list" TargetMode="External"/><Relationship Id="rId32" Type="http://schemas.openxmlformats.org/officeDocument/2006/relationships/hyperlink" Target="https://www.sanctionsmap.eu" TargetMode="External"/><Relationship Id="rId33" Type="http://schemas.openxmlformats.org/officeDocument/2006/relationships/hyperlink" Target="https://gels-avoirs.dgtresor.gouv.fr/List" TargetMode="External"/><Relationship Id="rId34" Type="http://schemas.openxmlformats.org/officeDocument/2006/relationships/hyperlink" Target="https://home.treasury.gov/policy-issues/financial-sanctions/sanctions-programs-and-country-information" TargetMode="External"/><Relationship Id="rId35" Type="http://schemas.openxmlformats.org/officeDocument/2006/relationships/hyperlink" Target="https://www.worldbank.org/en/projects-operations/procurement/debarred-firms" TargetMode="External"/><Relationship Id="rId36" Type="http://schemas.openxmlformats.org/officeDocument/2006/relationships/hyperlink" Target="mailto:hanna.niemtsova@expertisefranc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kDAWsggSh+c5AFRlsKZWxzw5kw==">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Application>ONLYOFFICE/9.2.1.8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 Liubov BOIARKINA-BILAN</cp:lastModifiedBy>
  <cp:revision>1</cp:revision>
  <dcterms:modified xsi:type="dcterms:W3CDTF">2026-04-09T14:56:32Z</dcterms:modified>
</cp:coreProperties>
</file>